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F237A" w14:textId="77777777" w:rsidR="00A6438E" w:rsidRPr="004F0980" w:rsidRDefault="00A6438E" w:rsidP="00A6438E">
      <w:pPr>
        <w:spacing w:after="0" w:line="276" w:lineRule="auto"/>
        <w:jc w:val="center"/>
        <w:rPr>
          <w:rFonts w:ascii="Times New Roman" w:hAnsi="Times New Roman" w:cs="Times New Roman"/>
          <w:b/>
          <w:sz w:val="28"/>
        </w:rPr>
      </w:pPr>
      <w:bookmarkStart w:id="0" w:name="_GoBack"/>
      <w:r w:rsidRPr="004F0980">
        <w:rPr>
          <w:rFonts w:ascii="Times New Roman" w:hAnsi="Times New Roman" w:cs="Times New Roman"/>
          <w:b/>
          <w:sz w:val="28"/>
        </w:rPr>
        <w:t>IMPACT-O₂</w:t>
      </w:r>
      <w:bookmarkEnd w:id="0"/>
      <w:r w:rsidRPr="004F0980">
        <w:rPr>
          <w:rFonts w:ascii="Times New Roman" w:hAnsi="Times New Roman" w:cs="Times New Roman"/>
          <w:b/>
          <w:sz w:val="28"/>
        </w:rPr>
        <w:t>: Improving Oxygen Prescribing and Clinical Practice through a Structured Audit and Feedback Intervention in a Tertiary Care Hospital</w:t>
      </w:r>
    </w:p>
    <w:p w14:paraId="5DF0EB97" w14:textId="77777777" w:rsidR="00A6438E" w:rsidRDefault="00A6438E" w:rsidP="00A6438E">
      <w:pPr>
        <w:spacing w:after="0" w:line="276" w:lineRule="auto"/>
        <w:jc w:val="center"/>
        <w:rPr>
          <w:rFonts w:ascii="Times New Roman" w:hAnsi="Times New Roman" w:cs="Times New Roman"/>
          <w:b/>
          <w:sz w:val="28"/>
          <w:szCs w:val="28"/>
        </w:rPr>
      </w:pPr>
    </w:p>
    <w:p w14:paraId="7E8AEBC0" w14:textId="77777777" w:rsidR="00A6438E" w:rsidRDefault="00A6438E" w:rsidP="00A6438E">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Suchal ZA, Asif AR, Khan D, Ilyas F, Mahmud A.</w:t>
      </w:r>
    </w:p>
    <w:p w14:paraId="73245A75" w14:textId="69A9935B" w:rsidR="00A6438E" w:rsidRPr="00A6438E" w:rsidRDefault="00A6438E" w:rsidP="00A6438E">
      <w:pPr>
        <w:spacing w:after="0" w:line="276" w:lineRule="auto"/>
        <w:jc w:val="center"/>
        <w:rPr>
          <w:rStyle w:val="Strong"/>
          <w:rFonts w:ascii="Times New Roman" w:hAnsi="Times New Roman" w:cs="Times New Roman"/>
          <w:b w:val="0"/>
          <w:bCs w:val="0"/>
          <w:sz w:val="24"/>
          <w:szCs w:val="28"/>
        </w:rPr>
      </w:pPr>
      <w:r>
        <w:rPr>
          <w:rFonts w:ascii="Times New Roman" w:hAnsi="Times New Roman" w:cs="Times New Roman"/>
          <w:sz w:val="24"/>
          <w:szCs w:val="28"/>
        </w:rPr>
        <w:t>Department of Internal Medicine/Hypertension, Shalamar Hospital &amp; Department of Clinical Research, Shalamar Medical &amp; dental College, Lahore, Pakistan</w:t>
      </w:r>
    </w:p>
    <w:p w14:paraId="28CDC645" w14:textId="15582F89" w:rsidR="00A6438E" w:rsidRDefault="00A6438E" w:rsidP="00A6438E">
      <w:pPr>
        <w:pStyle w:val="NormalWeb"/>
        <w:spacing w:line="360" w:lineRule="auto"/>
      </w:pPr>
      <w:r>
        <w:rPr>
          <w:rStyle w:val="Strong"/>
        </w:rPr>
        <w:t>Background:</w:t>
      </w:r>
      <w:r>
        <w:br/>
        <w:t>International guidelines, including the British Thoracic Society (BTS) recommendations, advocate for oxygen prescription with clearly defined target saturations, device specification, and ongoing monitoring. The IMPACT-O₂ audit aimed to evaluate and improve oxygen prescribing and monitoring practices in a tertiary care hospital in Pakistan.</w:t>
      </w:r>
    </w:p>
    <w:p w14:paraId="793C044D" w14:textId="77777777" w:rsidR="00A6438E" w:rsidRDefault="00A6438E" w:rsidP="00A6438E">
      <w:pPr>
        <w:pStyle w:val="NormalWeb"/>
        <w:spacing w:line="360" w:lineRule="auto"/>
      </w:pPr>
      <w:r>
        <w:rPr>
          <w:rStyle w:val="Strong"/>
        </w:rPr>
        <w:t>Methods:</w:t>
      </w:r>
      <w:r>
        <w:br/>
        <w:t xml:space="preserve">A three-phase interventional clinical audit was conducted. Phase 1 involved a baseline audit of oxygen prescription and monitoring across all inpatient wards. Phase 2 implemented a multifaceted intervention comprising a standardized oxygen prescription form, educational workshops for physicians and nursing staff, and visual reminders. Phase 3 involved a re-audit to assess post-intervention compliance. </w:t>
      </w:r>
    </w:p>
    <w:p w14:paraId="0E7E09DE" w14:textId="77777777" w:rsidR="00A6438E" w:rsidRDefault="00A6438E" w:rsidP="00A6438E">
      <w:pPr>
        <w:pStyle w:val="NormalWeb"/>
        <w:spacing w:line="360" w:lineRule="auto"/>
      </w:pPr>
      <w:r>
        <w:rPr>
          <w:rStyle w:val="Strong"/>
        </w:rPr>
        <w:t>Results:</w:t>
      </w:r>
      <w:r>
        <w:br/>
        <w:t xml:space="preserve">During the pre-intervention phase (n=223), oxygen was prescribed in 42.4% of cases, with poor documentation of device (16.1%), flow rate (20.6%), and </w:t>
      </w:r>
      <w:proofErr w:type="spellStart"/>
      <w:r>
        <w:t>SpO</w:t>
      </w:r>
      <w:proofErr w:type="spellEnd"/>
      <w:r>
        <w:t>₂ monitoring (34.1%). Post-intervention (n=202), 94.1% of patients had complete oxygen prescriptions, with full documentation of device, flow rate, target saturations, and regular nursing checks. Improvements were observed across all wards, including adult and pediatric populations.</w:t>
      </w:r>
    </w:p>
    <w:p w14:paraId="144D41EC" w14:textId="77777777" w:rsidR="00A6438E" w:rsidRDefault="00A6438E" w:rsidP="00A6438E">
      <w:pPr>
        <w:pStyle w:val="NormalWeb"/>
        <w:spacing w:line="360" w:lineRule="auto"/>
      </w:pPr>
      <w:r>
        <w:rPr>
          <w:rStyle w:val="Strong"/>
        </w:rPr>
        <w:t>Conclusions:</w:t>
      </w:r>
      <w:r>
        <w:br/>
        <w:t xml:space="preserve">Structured, low-cost interventions, combining a standardized prescription form and targeted education, substantially improved oxygen prescribing and monitoring. The audit highlights the feasibility of institutional protocols to enhance patient safety and aligns local practice with international guideline standards. </w:t>
      </w:r>
    </w:p>
    <w:p w14:paraId="52708D9F" w14:textId="77777777" w:rsidR="00A6438E" w:rsidRDefault="00A6438E"/>
    <w:sectPr w:rsidR="00A6438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A6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22CD"/>
  <w15:chartTrackingRefBased/>
  <w15:docId w15:val="{50DAEFB1-5D34-49D7-A8FA-F3981BF1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43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43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Clinical Research</dc:creator>
  <cp:keywords/>
  <dc:description/>
  <cp:lastModifiedBy>Clinical Research</cp:lastModifiedBy>
  <cp:revision>1</cp:revision>
  <dcterms:created xsi:type="dcterms:W3CDTF">2025-12-15T05:38:00Z</dcterms:created>
  <dcterms:modified xsi:type="dcterms:W3CDTF">2025-12-15T05:38:00Z</dcterms:modified>
</cp:coreProperties>
</file>