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3799" w14:textId="77777777" w:rsidR="00433A81" w:rsidRDefault="003501E0">
      <w:pPr>
        <w:pStyle w:val="Title"/>
        <w:spacing w:line="242" w:lineRule="auto"/>
      </w:pPr>
      <w:proofErr w:type="spellStart"/>
      <w:r>
        <w:t>Crigler-Najjar</w:t>
      </w:r>
      <w:proofErr w:type="spellEnd"/>
      <w:r>
        <w:t xml:space="preserve"> Syndrome Type II with Co- existent NAFLD: A Diagnostic Challenge in a Young Adult</w:t>
      </w:r>
    </w:p>
    <w:p w14:paraId="7F38ECAD" w14:textId="602EBA5A" w:rsidR="00433A81" w:rsidRDefault="003501E0">
      <w:pPr>
        <w:pStyle w:val="Heading1"/>
        <w:spacing w:before="235"/>
        <w:ind w:left="125" w:firstLine="0"/>
        <w:jc w:val="both"/>
        <w:rPr>
          <w:sz w:val="24"/>
          <w:szCs w:val="24"/>
        </w:rPr>
      </w:pPr>
      <w:r>
        <w:rPr>
          <w:sz w:val="24"/>
          <w:szCs w:val="24"/>
        </w:rPr>
        <w:t>Author</w:t>
      </w:r>
      <w:r>
        <w:rPr>
          <w:sz w:val="24"/>
          <w:szCs w:val="24"/>
        </w:rPr>
        <w:t xml:space="preserve"> : </w:t>
      </w:r>
      <w:proofErr w:type="spellStart"/>
      <w:r w:rsidR="00516D75">
        <w:rPr>
          <w:b w:val="0"/>
          <w:bCs w:val="0"/>
          <w:sz w:val="24"/>
          <w:szCs w:val="24"/>
        </w:rPr>
        <w:t>Dr</w:t>
      </w:r>
      <w:proofErr w:type="spellEnd"/>
      <w:r w:rsidR="00516D75">
        <w:rPr>
          <w:b w:val="0"/>
          <w:bCs w:val="0"/>
          <w:sz w:val="24"/>
          <w:szCs w:val="24"/>
        </w:rPr>
        <w:t xml:space="preserve"> Bashir Ahmed </w:t>
      </w:r>
      <w:proofErr w:type="spellStart"/>
      <w:r w:rsidR="00516D75">
        <w:rPr>
          <w:b w:val="0"/>
          <w:bCs w:val="0"/>
          <w:sz w:val="24"/>
          <w:szCs w:val="24"/>
        </w:rPr>
        <w:t>Chandio</w:t>
      </w:r>
      <w:proofErr w:type="spellEnd"/>
      <w:r w:rsidR="00516D75">
        <w:rPr>
          <w:b w:val="0"/>
          <w:bCs w:val="0"/>
          <w:sz w:val="24"/>
          <w:szCs w:val="24"/>
        </w:rPr>
        <w:t xml:space="preserve">, Associate Professor </w:t>
      </w:r>
      <w:r w:rsidR="00CA762B">
        <w:rPr>
          <w:b w:val="0"/>
          <w:bCs w:val="0"/>
          <w:sz w:val="24"/>
          <w:szCs w:val="24"/>
        </w:rPr>
        <w:t>Medicine @GMMMC Sukkur</w:t>
      </w:r>
    </w:p>
    <w:p w14:paraId="45DCB20B" w14:textId="71621377" w:rsidR="00433A81" w:rsidRDefault="003501E0">
      <w:pPr>
        <w:pStyle w:val="Heading1"/>
        <w:spacing w:before="235"/>
        <w:ind w:left="12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Email : </w:t>
      </w:r>
      <w:r w:rsidR="00CA762B">
        <w:rPr>
          <w:sz w:val="24"/>
          <w:szCs w:val="24"/>
        </w:rPr>
        <w:t>drbashir</w:t>
      </w:r>
      <w:r w:rsidR="003B7854">
        <w:rPr>
          <w:sz w:val="24"/>
          <w:szCs w:val="24"/>
        </w:rPr>
        <w:t>chandio</w:t>
      </w:r>
      <w:r>
        <w:rPr>
          <w:sz w:val="24"/>
          <w:szCs w:val="24"/>
        </w:rPr>
        <w:t>@gmail.com</w:t>
      </w:r>
    </w:p>
    <w:p w14:paraId="3EA719F3" w14:textId="77C0E2C3" w:rsidR="00433A81" w:rsidRDefault="003501E0">
      <w:pPr>
        <w:pStyle w:val="Heading1"/>
        <w:spacing w:before="235"/>
        <w:ind w:left="125" w:firstLine="0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Co-Author : </w:t>
      </w:r>
      <w:r>
        <w:rPr>
          <w:b w:val="0"/>
          <w:bCs w:val="0"/>
          <w:sz w:val="24"/>
          <w:szCs w:val="24"/>
        </w:rPr>
        <w:t xml:space="preserve">Prof </w:t>
      </w:r>
      <w:proofErr w:type="spellStart"/>
      <w:r>
        <w:rPr>
          <w:b w:val="0"/>
          <w:bCs w:val="0"/>
          <w:sz w:val="24"/>
          <w:szCs w:val="24"/>
        </w:rPr>
        <w:t>Dr</w:t>
      </w:r>
      <w:proofErr w:type="spellEnd"/>
      <w:r>
        <w:rPr>
          <w:b w:val="0"/>
          <w:bCs w:val="0"/>
          <w:sz w:val="24"/>
          <w:szCs w:val="24"/>
        </w:rPr>
        <w:t xml:space="preserve"> Saleh Muhammad </w:t>
      </w:r>
      <w:proofErr w:type="spellStart"/>
      <w:r>
        <w:rPr>
          <w:b w:val="0"/>
          <w:bCs w:val="0"/>
          <w:sz w:val="24"/>
          <w:szCs w:val="24"/>
        </w:rPr>
        <w:t>Channa</w:t>
      </w:r>
      <w:proofErr w:type="spellEnd"/>
      <w:r>
        <w:rPr>
          <w:b w:val="0"/>
          <w:bCs w:val="0"/>
          <w:sz w:val="24"/>
          <w:szCs w:val="24"/>
        </w:rPr>
        <w:t xml:space="preserve">, </w:t>
      </w:r>
      <w:r w:rsidR="00CB0853">
        <w:rPr>
          <w:b w:val="0"/>
          <w:bCs w:val="0"/>
          <w:sz w:val="24"/>
          <w:szCs w:val="24"/>
        </w:rPr>
        <w:t xml:space="preserve">Prof </w:t>
      </w:r>
      <w:proofErr w:type="spellStart"/>
      <w:r w:rsidR="00CB0853">
        <w:rPr>
          <w:b w:val="0"/>
          <w:bCs w:val="0"/>
          <w:sz w:val="24"/>
          <w:szCs w:val="24"/>
        </w:rPr>
        <w:t>D</w:t>
      </w:r>
      <w:r w:rsidR="00E3205C">
        <w:rPr>
          <w:b w:val="0"/>
          <w:bCs w:val="0"/>
          <w:sz w:val="24"/>
          <w:szCs w:val="24"/>
        </w:rPr>
        <w:t>r</w:t>
      </w:r>
      <w:proofErr w:type="spellEnd"/>
      <w:r w:rsidR="00E3205C">
        <w:rPr>
          <w:b w:val="0"/>
          <w:bCs w:val="0"/>
          <w:sz w:val="24"/>
          <w:szCs w:val="24"/>
        </w:rPr>
        <w:t xml:space="preserve"> </w:t>
      </w:r>
      <w:proofErr w:type="spellStart"/>
      <w:r w:rsidR="00E3205C">
        <w:rPr>
          <w:b w:val="0"/>
          <w:bCs w:val="0"/>
          <w:sz w:val="24"/>
          <w:szCs w:val="24"/>
        </w:rPr>
        <w:t>Altaf</w:t>
      </w:r>
      <w:proofErr w:type="spellEnd"/>
      <w:r w:rsidR="00E3205C">
        <w:rPr>
          <w:b w:val="0"/>
          <w:bCs w:val="0"/>
          <w:sz w:val="24"/>
          <w:szCs w:val="24"/>
        </w:rPr>
        <w:t xml:space="preserve"> Ahmed Shaikh, </w:t>
      </w:r>
      <w:r>
        <w:rPr>
          <w:b w:val="0"/>
          <w:bCs w:val="0"/>
          <w:sz w:val="24"/>
          <w:szCs w:val="24"/>
        </w:rPr>
        <w:t xml:space="preserve">Prof </w:t>
      </w:r>
      <w:proofErr w:type="spellStart"/>
      <w:r>
        <w:rPr>
          <w:b w:val="0"/>
          <w:bCs w:val="0"/>
          <w:sz w:val="24"/>
          <w:szCs w:val="24"/>
        </w:rPr>
        <w:t>Dr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Iftikhar</w:t>
      </w:r>
      <w:proofErr w:type="spellEnd"/>
      <w:r>
        <w:rPr>
          <w:b w:val="0"/>
          <w:bCs w:val="0"/>
          <w:sz w:val="24"/>
          <w:szCs w:val="24"/>
        </w:rPr>
        <w:t xml:space="preserve"> Ali Shah, </w:t>
      </w:r>
      <w:r w:rsidR="00033505">
        <w:rPr>
          <w:b w:val="0"/>
          <w:bCs w:val="0"/>
          <w:sz w:val="24"/>
          <w:szCs w:val="24"/>
        </w:rPr>
        <w:t xml:space="preserve">Dr. Khalil Ahmed </w:t>
      </w:r>
      <w:proofErr w:type="spellStart"/>
      <w:r w:rsidR="00033505">
        <w:rPr>
          <w:b w:val="0"/>
          <w:bCs w:val="0"/>
          <w:sz w:val="24"/>
          <w:szCs w:val="24"/>
        </w:rPr>
        <w:t>Sanghro</w:t>
      </w:r>
      <w:proofErr w:type="spellEnd"/>
      <w:r w:rsidR="00033505">
        <w:rPr>
          <w:b w:val="0"/>
          <w:bCs w:val="0"/>
          <w:sz w:val="24"/>
          <w:szCs w:val="24"/>
        </w:rPr>
        <w:t xml:space="preserve">, </w:t>
      </w:r>
      <w:proofErr w:type="spellStart"/>
      <w:r>
        <w:rPr>
          <w:b w:val="0"/>
          <w:bCs w:val="0"/>
          <w:sz w:val="24"/>
          <w:szCs w:val="24"/>
        </w:rPr>
        <w:t>Dr</w:t>
      </w:r>
      <w:proofErr w:type="spellEnd"/>
      <w:r>
        <w:rPr>
          <w:b w:val="0"/>
          <w:bCs w:val="0"/>
          <w:sz w:val="24"/>
          <w:szCs w:val="24"/>
        </w:rPr>
        <w:t xml:space="preserve"> Abdul Rasheed Dayo</w:t>
      </w:r>
    </w:p>
    <w:p w14:paraId="2B9B63D5" w14:textId="77777777" w:rsidR="00433A81" w:rsidRDefault="003501E0">
      <w:pPr>
        <w:pStyle w:val="Heading1"/>
        <w:spacing w:before="235"/>
        <w:ind w:left="125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Affilation</w:t>
      </w:r>
      <w:proofErr w:type="spellEnd"/>
      <w:r>
        <w:rPr>
          <w:sz w:val="24"/>
          <w:szCs w:val="24"/>
        </w:rPr>
        <w:t>:</w:t>
      </w:r>
      <w:r>
        <w:rPr>
          <w:b w:val="0"/>
          <w:bCs w:val="0"/>
          <w:sz w:val="24"/>
          <w:szCs w:val="24"/>
        </w:rPr>
        <w:t xml:space="preserve"> Ghulam Muhammad Mahar Medical College Teaching Hospital Sukkur</w:t>
      </w:r>
    </w:p>
    <w:p w14:paraId="0351B315" w14:textId="77777777" w:rsidR="00433A81" w:rsidRDefault="003501E0">
      <w:pPr>
        <w:pStyle w:val="Heading1"/>
        <w:numPr>
          <w:ilvl w:val="0"/>
          <w:numId w:val="1"/>
        </w:numPr>
        <w:tabs>
          <w:tab w:val="left" w:pos="514"/>
        </w:tabs>
        <w:ind w:hanging="389"/>
      </w:pPr>
      <w:r>
        <w:rPr>
          <w:spacing w:val="-2"/>
        </w:rPr>
        <w:t>Introduction</w:t>
      </w:r>
    </w:p>
    <w:p w14:paraId="704FD1CA" w14:textId="77777777" w:rsidR="00433A81" w:rsidRDefault="003501E0">
      <w:pPr>
        <w:pStyle w:val="BodyText"/>
        <w:spacing w:before="223" w:line="244" w:lineRule="auto"/>
      </w:pPr>
      <w:proofErr w:type="spellStart"/>
      <w:r>
        <w:t>Crigler-Najjar</w:t>
      </w:r>
      <w:proofErr w:type="spellEnd"/>
      <w:r>
        <w:t xml:space="preserve"> Syndrome (CNS) is a rare,</w:t>
      </w:r>
      <w:r>
        <w:t xml:space="preserve"> </w:t>
      </w:r>
      <w:r>
        <w:t xml:space="preserve">autosomal recessive disorder of bilirubin metabolism caused by a deficiency in the </w:t>
      </w:r>
      <w:r>
        <w:rPr>
          <w:b/>
        </w:rPr>
        <w:t xml:space="preserve">Uridine Diphosphate Glucuronosyltransferase 1A1 (UGT1A1) </w:t>
      </w:r>
      <w:proofErr w:type="spellStart"/>
      <w:r>
        <w:t>enzyme.This</w:t>
      </w:r>
      <w:proofErr w:type="spellEnd"/>
      <w:r>
        <w:t xml:space="preserve"> leads to unconjugated </w:t>
      </w:r>
      <w:proofErr w:type="spellStart"/>
      <w:r>
        <w:t>hyperbilirubinemia.Type</w:t>
      </w:r>
      <w:proofErr w:type="spellEnd"/>
      <w:r>
        <w:t xml:space="preserve"> II (Arias Syndrome) is the less severe form, characterized by partial UGT1A1 activity, moderate </w:t>
      </w:r>
      <w:proofErr w:type="spellStart"/>
      <w:r>
        <w:t>hyperbilirubinemia</w:t>
      </w:r>
      <w:proofErr w:type="spellEnd"/>
      <w:r>
        <w:t>, and a significant therapeutic response to phenobarbital. We present a rare case of CNS Type II diagnosed in a young adult with persistently high unconjugated bilirubin, co</w:t>
      </w:r>
      <w:r>
        <w:t>-existing with Non- Alcoholic Fatty Liver Disease (NAFLD).</w:t>
      </w:r>
    </w:p>
    <w:p w14:paraId="4130362F" w14:textId="77777777" w:rsidR="00433A81" w:rsidRDefault="003501E0">
      <w:pPr>
        <w:pStyle w:val="Heading1"/>
        <w:numPr>
          <w:ilvl w:val="0"/>
          <w:numId w:val="1"/>
        </w:numPr>
        <w:tabs>
          <w:tab w:val="left" w:pos="514"/>
        </w:tabs>
        <w:spacing w:before="213"/>
        <w:ind w:hanging="389"/>
      </w:pPr>
      <w:r>
        <w:t xml:space="preserve">Case </w:t>
      </w:r>
      <w:r>
        <w:rPr>
          <w:spacing w:val="-2"/>
        </w:rPr>
        <w:t>Presentation</w:t>
      </w:r>
    </w:p>
    <w:p w14:paraId="719B86F5" w14:textId="77777777" w:rsidR="00433A81" w:rsidRDefault="003501E0">
      <w:pPr>
        <w:spacing w:before="223" w:line="244" w:lineRule="auto"/>
        <w:ind w:left="125" w:right="261"/>
        <w:rPr>
          <w:sz w:val="21"/>
        </w:rPr>
      </w:pPr>
      <w:r>
        <w:rPr>
          <w:sz w:val="21"/>
        </w:rPr>
        <w:t xml:space="preserve">A </w:t>
      </w:r>
      <w:r>
        <w:rPr>
          <w:b/>
          <w:sz w:val="21"/>
        </w:rPr>
        <w:t>28-year-old male</w:t>
      </w:r>
      <w:r>
        <w:rPr>
          <w:sz w:val="21"/>
        </w:rPr>
        <w:t xml:space="preserve">, a marble polish worker, presented with </w:t>
      </w:r>
      <w:r>
        <w:rPr>
          <w:b/>
          <w:sz w:val="21"/>
        </w:rPr>
        <w:t xml:space="preserve">yellowish discoloration of the eyes for one year </w:t>
      </w:r>
      <w:r>
        <w:rPr>
          <w:sz w:val="21"/>
        </w:rPr>
        <w:t xml:space="preserve">and </w:t>
      </w:r>
      <w:r>
        <w:rPr>
          <w:b/>
          <w:sz w:val="21"/>
        </w:rPr>
        <w:t>epigastric pain for one week</w:t>
      </w:r>
      <w:r>
        <w:rPr>
          <w:sz w:val="21"/>
        </w:rPr>
        <w:t>.</w:t>
      </w:r>
    </w:p>
    <w:p w14:paraId="769555B1" w14:textId="77777777" w:rsidR="00433A81" w:rsidRDefault="003501E0">
      <w:pPr>
        <w:pStyle w:val="ListParagraph"/>
        <w:numPr>
          <w:ilvl w:val="1"/>
          <w:numId w:val="1"/>
        </w:numPr>
        <w:tabs>
          <w:tab w:val="left" w:pos="709"/>
        </w:tabs>
        <w:spacing w:line="244" w:lineRule="auto"/>
        <w:ind w:right="402"/>
        <w:rPr>
          <w:sz w:val="21"/>
        </w:rPr>
      </w:pPr>
      <w:r>
        <w:rPr>
          <w:b/>
          <w:sz w:val="21"/>
        </w:rPr>
        <w:t>Jaundice History</w:t>
      </w:r>
      <w:r>
        <w:rPr>
          <w:sz w:val="21"/>
        </w:rPr>
        <w:t xml:space="preserve">: Gradual in onset, progressively worsening, and </w:t>
      </w:r>
      <w:r>
        <w:rPr>
          <w:b/>
          <w:sz w:val="21"/>
        </w:rPr>
        <w:t xml:space="preserve">uncomplicated </w:t>
      </w:r>
      <w:r>
        <w:rPr>
          <w:sz w:val="21"/>
        </w:rPr>
        <w:t>(no associated fatigue, fever, itching, or weight loss). Stool was pale yellow, and urine was dark yellow.</w:t>
      </w:r>
    </w:p>
    <w:p w14:paraId="5A056EB2" w14:textId="77777777" w:rsidR="00433A81" w:rsidRDefault="003501E0">
      <w:pPr>
        <w:pStyle w:val="ListParagraph"/>
        <w:numPr>
          <w:ilvl w:val="1"/>
          <w:numId w:val="1"/>
        </w:numPr>
        <w:tabs>
          <w:tab w:val="left" w:pos="709"/>
        </w:tabs>
        <w:spacing w:line="244" w:lineRule="auto"/>
        <w:ind w:right="306"/>
        <w:rPr>
          <w:sz w:val="21"/>
        </w:rPr>
      </w:pPr>
      <w:r>
        <w:rPr>
          <w:b/>
          <w:sz w:val="21"/>
        </w:rPr>
        <w:t>Pain History</w:t>
      </w:r>
      <w:r>
        <w:rPr>
          <w:sz w:val="21"/>
        </w:rPr>
        <w:t>: Epigastric pain was colicky, non-radiating, aggravated by food intake, and relieved by analgesics.</w:t>
      </w:r>
    </w:p>
    <w:p w14:paraId="1D748532" w14:textId="77777777" w:rsidR="00433A81" w:rsidRDefault="003501E0">
      <w:pPr>
        <w:pStyle w:val="ListParagraph"/>
        <w:numPr>
          <w:ilvl w:val="1"/>
          <w:numId w:val="1"/>
        </w:numPr>
        <w:tabs>
          <w:tab w:val="left" w:pos="709"/>
        </w:tabs>
        <w:spacing w:line="244" w:lineRule="auto"/>
        <w:ind w:right="188"/>
        <w:rPr>
          <w:sz w:val="21"/>
        </w:rPr>
      </w:pPr>
      <w:r>
        <w:rPr>
          <w:b/>
          <w:sz w:val="21"/>
        </w:rPr>
        <w:t>Past/Family History</w:t>
      </w:r>
      <w:r>
        <w:rPr>
          <w:sz w:val="21"/>
        </w:rPr>
        <w:t xml:space="preserve">: Multiple prior OPD visits for the same complaint of jaundice. Family history noted a second-degree relative (cousin) with jaundice and a consanguineous </w:t>
      </w:r>
      <w:r>
        <w:rPr>
          <w:spacing w:val="-2"/>
          <w:sz w:val="21"/>
        </w:rPr>
        <w:t>marriage.</w:t>
      </w:r>
    </w:p>
    <w:p w14:paraId="1A26A389" w14:textId="77777777" w:rsidR="00433A81" w:rsidRDefault="003501E0">
      <w:pPr>
        <w:pStyle w:val="ListParagraph"/>
        <w:numPr>
          <w:ilvl w:val="1"/>
          <w:numId w:val="1"/>
        </w:numPr>
        <w:tabs>
          <w:tab w:val="left" w:pos="709"/>
        </w:tabs>
        <w:spacing w:line="244" w:lineRule="auto"/>
        <w:ind w:right="305"/>
        <w:rPr>
          <w:sz w:val="21"/>
        </w:rPr>
      </w:pPr>
      <w:r>
        <w:rPr>
          <w:b/>
          <w:sz w:val="21"/>
        </w:rPr>
        <w:t>Physical Exam</w:t>
      </w:r>
      <w:r>
        <w:rPr>
          <w:sz w:val="21"/>
        </w:rPr>
        <w:t>: Jaundice was positive. Vitals were stable. No pallor, lymphadenopathy, or stigmata of Chronic Liver Disease (CLD) were noted.</w:t>
      </w:r>
    </w:p>
    <w:p w14:paraId="575C867A" w14:textId="77777777" w:rsidR="00433A81" w:rsidRDefault="003501E0">
      <w:pPr>
        <w:pStyle w:val="Heading1"/>
        <w:numPr>
          <w:ilvl w:val="0"/>
          <w:numId w:val="1"/>
        </w:numPr>
        <w:tabs>
          <w:tab w:val="left" w:pos="514"/>
        </w:tabs>
        <w:spacing w:before="212"/>
        <w:ind w:hanging="389"/>
      </w:pPr>
      <w:r>
        <w:t>Initial</w:t>
      </w:r>
      <w:r>
        <w:rPr>
          <w:spacing w:val="-6"/>
        </w:rPr>
        <w:t xml:space="preserve"> </w:t>
      </w:r>
      <w:r>
        <w:rPr>
          <w:spacing w:val="-2"/>
        </w:rPr>
        <w:t>Investigations</w:t>
      </w:r>
    </w:p>
    <w:p w14:paraId="139FC9A5" w14:textId="77777777" w:rsidR="00433A81" w:rsidRDefault="003501E0">
      <w:pPr>
        <w:pStyle w:val="BodyText"/>
        <w:spacing w:before="223" w:line="244" w:lineRule="auto"/>
      </w:pPr>
      <w:r>
        <w:t>The initial workup focused on ruling out common causes of jaundice (hemolysis, viral hepatitis, and obstruction).</w:t>
      </w:r>
    </w:p>
    <w:tbl>
      <w:tblPr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276"/>
        <w:gridCol w:w="2276"/>
        <w:gridCol w:w="2276"/>
      </w:tblGrid>
      <w:tr w:rsidR="00433A81" w14:paraId="6CCF5ECF" w14:textId="77777777">
        <w:trPr>
          <w:trHeight w:val="491"/>
        </w:trPr>
        <w:tc>
          <w:tcPr>
            <w:tcW w:w="2276" w:type="dxa"/>
          </w:tcPr>
          <w:p w14:paraId="740771D1" w14:textId="77777777" w:rsidR="00433A81" w:rsidRDefault="003501E0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Parameter</w:t>
            </w:r>
          </w:p>
        </w:tc>
        <w:tc>
          <w:tcPr>
            <w:tcW w:w="2276" w:type="dxa"/>
          </w:tcPr>
          <w:p w14:paraId="5CA64593" w14:textId="77777777" w:rsidR="00433A81" w:rsidRDefault="003501E0">
            <w:pPr>
              <w:pStyle w:val="TableParagraph"/>
              <w:spacing w:before="0" w:line="24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Intial</w:t>
            </w:r>
            <w:proofErr w:type="spellEnd"/>
            <w:r>
              <w:rPr>
                <w:sz w:val="21"/>
              </w:rPr>
              <w:t xml:space="preserve"> labs</w:t>
            </w:r>
          </w:p>
          <w:p w14:paraId="71C812C2" w14:textId="77777777" w:rsidR="00433A81" w:rsidRDefault="003501E0">
            <w:pPr>
              <w:pStyle w:val="TableParagraph"/>
              <w:spacing w:before="4" w:line="22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(</w:t>
            </w:r>
            <w:r>
              <w:rPr>
                <w:spacing w:val="-2"/>
                <w:sz w:val="21"/>
              </w:rPr>
              <w:t>24</w:t>
            </w:r>
            <w:r>
              <w:rPr>
                <w:spacing w:val="-2"/>
                <w:sz w:val="21"/>
              </w:rPr>
              <w:t>/</w:t>
            </w:r>
            <w:r>
              <w:rPr>
                <w:spacing w:val="-2"/>
                <w:sz w:val="21"/>
              </w:rPr>
              <w:t>12</w:t>
            </w:r>
            <w:r>
              <w:rPr>
                <w:spacing w:val="-2"/>
                <w:sz w:val="21"/>
              </w:rPr>
              <w:t>/2024)</w:t>
            </w:r>
          </w:p>
        </w:tc>
        <w:tc>
          <w:tcPr>
            <w:tcW w:w="2276" w:type="dxa"/>
          </w:tcPr>
          <w:p w14:paraId="23848E12" w14:textId="77777777" w:rsidR="00433A81" w:rsidRDefault="003501E0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Normal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Range</w:t>
            </w:r>
          </w:p>
        </w:tc>
        <w:tc>
          <w:tcPr>
            <w:tcW w:w="2276" w:type="dxa"/>
          </w:tcPr>
          <w:p w14:paraId="2F4B0A1A" w14:textId="77777777" w:rsidR="00433A81" w:rsidRDefault="003501E0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Finding</w:t>
            </w:r>
          </w:p>
        </w:tc>
      </w:tr>
      <w:tr w:rsidR="00433A81" w14:paraId="3B8651E1" w14:textId="77777777">
        <w:trPr>
          <w:trHeight w:val="245"/>
        </w:trPr>
        <w:tc>
          <w:tcPr>
            <w:tcW w:w="2276" w:type="dxa"/>
          </w:tcPr>
          <w:p w14:paraId="6A752375" w14:textId="77777777" w:rsidR="00433A81" w:rsidRDefault="003501E0">
            <w:pPr>
              <w:pStyle w:val="TableParagraph"/>
              <w:spacing w:before="0" w:line="226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Total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Bilirubin</w:t>
            </w:r>
          </w:p>
        </w:tc>
        <w:tc>
          <w:tcPr>
            <w:tcW w:w="2276" w:type="dxa"/>
          </w:tcPr>
          <w:p w14:paraId="2ADE2DE0" w14:textId="77777777" w:rsidR="00433A81" w:rsidRDefault="003501E0">
            <w:pPr>
              <w:pStyle w:val="TableParagraph"/>
              <w:spacing w:before="0" w:line="226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  <w:r>
              <w:rPr>
                <w:b/>
                <w:sz w:val="21"/>
              </w:rPr>
              <w:t>6</w:t>
            </w:r>
            <w:r>
              <w:rPr>
                <w:b/>
                <w:sz w:val="21"/>
              </w:rPr>
              <w:t>.</w:t>
            </w:r>
            <w:r>
              <w:rPr>
                <w:b/>
                <w:sz w:val="21"/>
              </w:rPr>
              <w:t>2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mg/dL</w:t>
            </w:r>
          </w:p>
        </w:tc>
        <w:tc>
          <w:tcPr>
            <w:tcW w:w="2276" w:type="dxa"/>
          </w:tcPr>
          <w:p w14:paraId="2892B335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z w:val="21"/>
              </w:rPr>
              <w:t>0.1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1.0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mg/dL</w:t>
            </w:r>
          </w:p>
        </w:tc>
        <w:tc>
          <w:tcPr>
            <w:tcW w:w="2276" w:type="dxa"/>
          </w:tcPr>
          <w:p w14:paraId="1EF1C103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z w:val="21"/>
              </w:rPr>
              <w:t>Markedly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Elevated</w:t>
            </w:r>
          </w:p>
        </w:tc>
      </w:tr>
      <w:tr w:rsidR="00433A81" w14:paraId="0DA5CEEA" w14:textId="77777777">
        <w:trPr>
          <w:trHeight w:val="491"/>
        </w:trPr>
        <w:tc>
          <w:tcPr>
            <w:tcW w:w="2276" w:type="dxa"/>
          </w:tcPr>
          <w:p w14:paraId="2AFFEAA6" w14:textId="77777777" w:rsidR="00433A81" w:rsidRDefault="003501E0">
            <w:pPr>
              <w:pStyle w:val="TableParagraph"/>
              <w:spacing w:before="0" w:line="24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Indirect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Bilirubin</w:t>
            </w:r>
          </w:p>
        </w:tc>
        <w:tc>
          <w:tcPr>
            <w:tcW w:w="2276" w:type="dxa"/>
          </w:tcPr>
          <w:p w14:paraId="36D9A7D7" w14:textId="77777777" w:rsidR="00433A81" w:rsidRDefault="003501E0">
            <w:pPr>
              <w:pStyle w:val="TableParagraph"/>
              <w:spacing w:before="0" w:line="241" w:lineRule="exact"/>
              <w:rPr>
                <w:b/>
                <w:sz w:val="21"/>
              </w:rPr>
            </w:pPr>
            <w:r>
              <w:rPr>
                <w:b/>
                <w:spacing w:val="5"/>
                <w:sz w:val="21"/>
              </w:rPr>
              <w:t>15.5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mg/dL</w:t>
            </w:r>
          </w:p>
        </w:tc>
        <w:tc>
          <w:tcPr>
            <w:tcW w:w="2276" w:type="dxa"/>
          </w:tcPr>
          <w:p w14:paraId="5708AC29" w14:textId="77777777" w:rsidR="00433A81" w:rsidRDefault="003501E0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0.2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0.8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mg/dL</w:t>
            </w:r>
          </w:p>
        </w:tc>
        <w:tc>
          <w:tcPr>
            <w:tcW w:w="2276" w:type="dxa"/>
          </w:tcPr>
          <w:p w14:paraId="02C17E8F" w14:textId="77777777" w:rsidR="00433A81" w:rsidRDefault="003501E0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z w:val="21"/>
              </w:rPr>
              <w:t>Isolated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Unconjugated</w:t>
            </w:r>
          </w:p>
          <w:p w14:paraId="5420E95F" w14:textId="77777777" w:rsidR="00433A81" w:rsidRDefault="003501E0">
            <w:pPr>
              <w:pStyle w:val="TableParagraph"/>
              <w:spacing w:before="4" w:line="226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Hyperbilirubinemia</w:t>
            </w:r>
            <w:proofErr w:type="spellEnd"/>
          </w:p>
        </w:tc>
      </w:tr>
      <w:tr w:rsidR="00433A81" w14:paraId="29B0FC30" w14:textId="77777777">
        <w:trPr>
          <w:trHeight w:val="245"/>
        </w:trPr>
        <w:tc>
          <w:tcPr>
            <w:tcW w:w="2276" w:type="dxa"/>
          </w:tcPr>
          <w:p w14:paraId="2CFF929E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z w:val="21"/>
              </w:rPr>
              <w:t>SGPT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(ALT)</w:t>
            </w:r>
          </w:p>
        </w:tc>
        <w:tc>
          <w:tcPr>
            <w:tcW w:w="2276" w:type="dxa"/>
          </w:tcPr>
          <w:p w14:paraId="63A8864C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z w:val="21"/>
              </w:rPr>
              <w:t>56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IU/L</w:t>
            </w:r>
          </w:p>
        </w:tc>
        <w:tc>
          <w:tcPr>
            <w:tcW w:w="2276" w:type="dxa"/>
          </w:tcPr>
          <w:p w14:paraId="5334F5B6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41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IU/L</w:t>
            </w:r>
          </w:p>
        </w:tc>
        <w:tc>
          <w:tcPr>
            <w:tcW w:w="2276" w:type="dxa"/>
          </w:tcPr>
          <w:p w14:paraId="31C33ABC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z w:val="21"/>
              </w:rPr>
              <w:t>Mildly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Elevated</w:t>
            </w:r>
          </w:p>
        </w:tc>
      </w:tr>
    </w:tbl>
    <w:p w14:paraId="05C798A1" w14:textId="77777777" w:rsidR="00433A81" w:rsidRDefault="00433A81">
      <w:pPr>
        <w:pStyle w:val="TableParagraph"/>
        <w:spacing w:line="226" w:lineRule="exact"/>
        <w:rPr>
          <w:sz w:val="21"/>
        </w:rPr>
        <w:sectPr w:rsidR="00433A81">
          <w:type w:val="continuous"/>
          <w:pgSz w:w="11910" w:h="16840"/>
          <w:pgMar w:top="1920" w:right="1275" w:bottom="280" w:left="1275" w:header="720" w:footer="720" w:gutter="0"/>
          <w:cols w:space="720"/>
        </w:sectPr>
      </w:pPr>
    </w:p>
    <w:p w14:paraId="55370E23" w14:textId="77777777" w:rsidR="00433A81" w:rsidRDefault="00433A81">
      <w:pPr>
        <w:pStyle w:val="BodyText"/>
        <w:spacing w:before="7"/>
        <w:ind w:left="0" w:right="0"/>
        <w:rPr>
          <w:sz w:val="14"/>
        </w:rPr>
      </w:pPr>
    </w:p>
    <w:tbl>
      <w:tblPr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276"/>
        <w:gridCol w:w="2276"/>
        <w:gridCol w:w="2276"/>
      </w:tblGrid>
      <w:tr w:rsidR="00433A81" w14:paraId="3A9300F6" w14:textId="77777777">
        <w:trPr>
          <w:trHeight w:val="245"/>
        </w:trPr>
        <w:tc>
          <w:tcPr>
            <w:tcW w:w="2276" w:type="dxa"/>
          </w:tcPr>
          <w:p w14:paraId="3C2630A7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z w:val="21"/>
              </w:rPr>
              <w:t>SGOT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(AST)</w:t>
            </w:r>
          </w:p>
        </w:tc>
        <w:tc>
          <w:tcPr>
            <w:tcW w:w="2276" w:type="dxa"/>
          </w:tcPr>
          <w:p w14:paraId="20254BA4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z w:val="21"/>
              </w:rPr>
              <w:t>60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IU/L</w:t>
            </w:r>
          </w:p>
        </w:tc>
        <w:tc>
          <w:tcPr>
            <w:tcW w:w="2276" w:type="dxa"/>
          </w:tcPr>
          <w:p w14:paraId="51D3854E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34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IU/L</w:t>
            </w:r>
          </w:p>
        </w:tc>
        <w:tc>
          <w:tcPr>
            <w:tcW w:w="2276" w:type="dxa"/>
          </w:tcPr>
          <w:p w14:paraId="3AADDA0D" w14:textId="77777777" w:rsidR="00433A81" w:rsidRDefault="003501E0">
            <w:pPr>
              <w:pStyle w:val="TableParagraph"/>
              <w:spacing w:before="0" w:line="226" w:lineRule="exact"/>
              <w:rPr>
                <w:sz w:val="21"/>
              </w:rPr>
            </w:pPr>
            <w:r>
              <w:rPr>
                <w:sz w:val="21"/>
              </w:rPr>
              <w:t>Mildly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Elevated</w:t>
            </w:r>
          </w:p>
        </w:tc>
      </w:tr>
      <w:tr w:rsidR="00433A81" w14:paraId="2D0BBD53" w14:textId="77777777">
        <w:trPr>
          <w:trHeight w:val="245"/>
        </w:trPr>
        <w:tc>
          <w:tcPr>
            <w:tcW w:w="2276" w:type="dxa"/>
          </w:tcPr>
          <w:p w14:paraId="3498A7D9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ALP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GGT</w:t>
            </w:r>
          </w:p>
        </w:tc>
        <w:tc>
          <w:tcPr>
            <w:tcW w:w="2276" w:type="dxa"/>
          </w:tcPr>
          <w:p w14:paraId="5F6BF870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Normal</w:t>
            </w:r>
          </w:p>
        </w:tc>
        <w:tc>
          <w:tcPr>
            <w:tcW w:w="2276" w:type="dxa"/>
          </w:tcPr>
          <w:p w14:paraId="4C26BAE7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Normal</w:t>
            </w:r>
          </w:p>
        </w:tc>
        <w:tc>
          <w:tcPr>
            <w:tcW w:w="2276" w:type="dxa"/>
          </w:tcPr>
          <w:p w14:paraId="04DCFE12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Normal</w:t>
            </w:r>
          </w:p>
        </w:tc>
      </w:tr>
      <w:tr w:rsidR="00433A81" w14:paraId="667B8418" w14:textId="77777777">
        <w:trPr>
          <w:trHeight w:val="491"/>
        </w:trPr>
        <w:tc>
          <w:tcPr>
            <w:tcW w:w="2276" w:type="dxa"/>
          </w:tcPr>
          <w:p w14:paraId="366AE940" w14:textId="77777777" w:rsidR="00433A81" w:rsidRDefault="003501E0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PT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INR</w:t>
            </w:r>
          </w:p>
        </w:tc>
        <w:tc>
          <w:tcPr>
            <w:tcW w:w="2276" w:type="dxa"/>
          </w:tcPr>
          <w:p w14:paraId="3E831CC2" w14:textId="77777777" w:rsidR="00433A81" w:rsidRDefault="003501E0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Normal</w:t>
            </w:r>
          </w:p>
        </w:tc>
        <w:tc>
          <w:tcPr>
            <w:tcW w:w="2276" w:type="dxa"/>
          </w:tcPr>
          <w:p w14:paraId="46F31684" w14:textId="77777777" w:rsidR="00433A81" w:rsidRDefault="003501E0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Normal</w:t>
            </w:r>
          </w:p>
        </w:tc>
        <w:tc>
          <w:tcPr>
            <w:tcW w:w="2276" w:type="dxa"/>
          </w:tcPr>
          <w:p w14:paraId="76B3B033" w14:textId="77777777" w:rsidR="00433A81" w:rsidRDefault="003501E0">
            <w:pPr>
              <w:pStyle w:val="TableParagraph"/>
              <w:spacing w:before="0" w:line="246" w:lineRule="exact"/>
              <w:rPr>
                <w:sz w:val="21"/>
              </w:rPr>
            </w:pPr>
            <w:r>
              <w:rPr>
                <w:sz w:val="21"/>
              </w:rPr>
              <w:t>Normal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Synthetic </w:t>
            </w:r>
            <w:r>
              <w:rPr>
                <w:spacing w:val="-2"/>
                <w:sz w:val="21"/>
              </w:rPr>
              <w:t>Function</w:t>
            </w:r>
          </w:p>
        </w:tc>
      </w:tr>
      <w:tr w:rsidR="00433A81" w14:paraId="4F0ACC44" w14:textId="77777777">
        <w:trPr>
          <w:trHeight w:val="245"/>
        </w:trPr>
        <w:tc>
          <w:tcPr>
            <w:tcW w:w="2276" w:type="dxa"/>
          </w:tcPr>
          <w:p w14:paraId="2B877864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Reticulocyte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Count</w:t>
            </w:r>
          </w:p>
        </w:tc>
        <w:tc>
          <w:tcPr>
            <w:tcW w:w="2276" w:type="dxa"/>
          </w:tcPr>
          <w:p w14:paraId="07226ED8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1.4%</w:t>
            </w:r>
          </w:p>
        </w:tc>
        <w:tc>
          <w:tcPr>
            <w:tcW w:w="2276" w:type="dxa"/>
          </w:tcPr>
          <w:p w14:paraId="4F031821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0.5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2.5%</w:t>
            </w:r>
          </w:p>
        </w:tc>
        <w:tc>
          <w:tcPr>
            <w:tcW w:w="2276" w:type="dxa"/>
          </w:tcPr>
          <w:p w14:paraId="44C184A7" w14:textId="77777777" w:rsidR="00433A81" w:rsidRDefault="003501E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Hemolysis</w:t>
            </w:r>
          </w:p>
        </w:tc>
      </w:tr>
      <w:tr w:rsidR="00433A81" w14:paraId="50772827" w14:textId="77777777">
        <w:trPr>
          <w:trHeight w:val="737"/>
        </w:trPr>
        <w:tc>
          <w:tcPr>
            <w:tcW w:w="2276" w:type="dxa"/>
          </w:tcPr>
          <w:p w14:paraId="6C4B1F1F" w14:textId="77777777" w:rsidR="00433A81" w:rsidRDefault="003501E0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Viral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Markers</w:t>
            </w:r>
          </w:p>
        </w:tc>
        <w:tc>
          <w:tcPr>
            <w:tcW w:w="2276" w:type="dxa"/>
          </w:tcPr>
          <w:p w14:paraId="18F5E0F9" w14:textId="77777777" w:rsidR="00433A81" w:rsidRDefault="003501E0">
            <w:pPr>
              <w:pStyle w:val="TableParagraph"/>
              <w:spacing w:line="244" w:lineRule="auto"/>
              <w:rPr>
                <w:b/>
                <w:sz w:val="21"/>
              </w:rPr>
            </w:pPr>
            <w:proofErr w:type="spellStart"/>
            <w:r>
              <w:rPr>
                <w:sz w:val="21"/>
              </w:rPr>
              <w:t>HBsAg</w:t>
            </w:r>
            <w:proofErr w:type="spellEnd"/>
            <w:r>
              <w:rPr>
                <w:sz w:val="21"/>
              </w:rPr>
              <w:t>, HCV Ab, HAV/HEV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IgM: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Non-</w:t>
            </w:r>
          </w:p>
          <w:p w14:paraId="2BC47BE9" w14:textId="77777777" w:rsidR="00433A81" w:rsidRDefault="003501E0">
            <w:pPr>
              <w:pStyle w:val="TableParagraph"/>
              <w:spacing w:before="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Reactive</w:t>
            </w:r>
          </w:p>
        </w:tc>
        <w:tc>
          <w:tcPr>
            <w:tcW w:w="2276" w:type="dxa"/>
          </w:tcPr>
          <w:p w14:paraId="2BD2701D" w14:textId="77777777" w:rsidR="00433A81" w:rsidRDefault="003501E0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Non-</w:t>
            </w:r>
            <w:r>
              <w:rPr>
                <w:spacing w:val="-2"/>
                <w:sz w:val="21"/>
              </w:rPr>
              <w:t>Reactive</w:t>
            </w:r>
          </w:p>
        </w:tc>
        <w:tc>
          <w:tcPr>
            <w:tcW w:w="2276" w:type="dxa"/>
          </w:tcPr>
          <w:p w14:paraId="4323D38A" w14:textId="77777777" w:rsidR="00433A81" w:rsidRDefault="003501E0">
            <w:pPr>
              <w:pStyle w:val="TableParagraph"/>
              <w:spacing w:line="244" w:lineRule="auto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Acute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Viral </w:t>
            </w:r>
            <w:r>
              <w:rPr>
                <w:b/>
                <w:spacing w:val="-2"/>
                <w:sz w:val="21"/>
              </w:rPr>
              <w:t>Hepatitis</w:t>
            </w:r>
          </w:p>
        </w:tc>
      </w:tr>
      <w:tr w:rsidR="00433A81" w14:paraId="709DA081" w14:textId="77777777">
        <w:trPr>
          <w:trHeight w:val="737"/>
        </w:trPr>
        <w:tc>
          <w:tcPr>
            <w:tcW w:w="2276" w:type="dxa"/>
          </w:tcPr>
          <w:p w14:paraId="064C43E7" w14:textId="77777777" w:rsidR="00433A81" w:rsidRDefault="003501E0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Imaging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(US/MRCP)</w:t>
            </w:r>
          </w:p>
        </w:tc>
        <w:tc>
          <w:tcPr>
            <w:tcW w:w="2276" w:type="dxa"/>
          </w:tcPr>
          <w:p w14:paraId="36D59F54" w14:textId="77777777" w:rsidR="00433A81" w:rsidRDefault="003501E0">
            <w:pPr>
              <w:pStyle w:val="TableParagraph"/>
              <w:spacing w:line="240" w:lineRule="auto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Cholelithiasis</w:t>
            </w:r>
            <w:proofErr w:type="spellEnd"/>
          </w:p>
          <w:p w14:paraId="3C4E2C03" w14:textId="77777777" w:rsidR="00433A81" w:rsidRDefault="003501E0">
            <w:pPr>
              <w:pStyle w:val="TableParagraph"/>
              <w:spacing w:before="0" w:line="240" w:lineRule="atLeast"/>
              <w:rPr>
                <w:b/>
                <w:sz w:val="21"/>
              </w:rPr>
            </w:pPr>
            <w:r>
              <w:rPr>
                <w:sz w:val="21"/>
              </w:rPr>
              <w:t xml:space="preserve">(gallstones), </w:t>
            </w:r>
            <w:r>
              <w:rPr>
                <w:b/>
                <w:sz w:val="21"/>
              </w:rPr>
              <w:t xml:space="preserve">CBD Not </w:t>
            </w:r>
            <w:r>
              <w:rPr>
                <w:b/>
                <w:spacing w:val="-2"/>
                <w:sz w:val="21"/>
              </w:rPr>
              <w:t>Dilated</w:t>
            </w:r>
          </w:p>
        </w:tc>
        <w:tc>
          <w:tcPr>
            <w:tcW w:w="2276" w:type="dxa"/>
          </w:tcPr>
          <w:p w14:paraId="1DFB4868" w14:textId="77777777" w:rsidR="00433A81" w:rsidRDefault="003501E0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Normal</w:t>
            </w:r>
          </w:p>
        </w:tc>
        <w:tc>
          <w:tcPr>
            <w:tcW w:w="2276" w:type="dxa"/>
          </w:tcPr>
          <w:p w14:paraId="4C15850A" w14:textId="77777777" w:rsidR="00433A81" w:rsidRDefault="003501E0">
            <w:pPr>
              <w:pStyle w:val="TableParagraph"/>
              <w:spacing w:line="244" w:lineRule="auto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Obstructive </w:t>
            </w:r>
            <w:r>
              <w:rPr>
                <w:b/>
                <w:spacing w:val="-2"/>
                <w:sz w:val="21"/>
              </w:rPr>
              <w:t>Jaundice</w:t>
            </w:r>
          </w:p>
        </w:tc>
      </w:tr>
    </w:tbl>
    <w:p w14:paraId="6A2366D4" w14:textId="77777777" w:rsidR="00433A81" w:rsidRDefault="003501E0">
      <w:pPr>
        <w:pStyle w:val="Heading1"/>
        <w:numPr>
          <w:ilvl w:val="0"/>
          <w:numId w:val="1"/>
        </w:numPr>
        <w:tabs>
          <w:tab w:val="left" w:pos="514"/>
        </w:tabs>
        <w:spacing w:before="222"/>
        <w:ind w:hanging="389"/>
      </w:pPr>
      <w:r>
        <w:t>Differential</w:t>
      </w:r>
      <w:r>
        <w:rPr>
          <w:spacing w:val="-7"/>
        </w:rPr>
        <w:t xml:space="preserve"> </w:t>
      </w:r>
      <w:r>
        <w:t>Diagnosis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Phenobarbital</w:t>
      </w:r>
      <w:r>
        <w:rPr>
          <w:spacing w:val="-4"/>
        </w:rPr>
        <w:t xml:space="preserve"> </w:t>
      </w:r>
      <w:r>
        <w:rPr>
          <w:spacing w:val="-2"/>
        </w:rPr>
        <w:t>Challenge</w:t>
      </w:r>
    </w:p>
    <w:p w14:paraId="6B2CB77E" w14:textId="77777777" w:rsidR="00433A81" w:rsidRDefault="003501E0">
      <w:pPr>
        <w:pStyle w:val="BodyText"/>
        <w:spacing w:before="222" w:line="244" w:lineRule="auto"/>
      </w:pPr>
      <w:r>
        <w:t xml:space="preserve">The diagnosis was narrowed to a congenital unconjugated </w:t>
      </w:r>
      <w:proofErr w:type="spellStart"/>
      <w:r>
        <w:t>hyperbilirubinemia</w:t>
      </w:r>
      <w:proofErr w:type="spellEnd"/>
      <w:r>
        <w:t xml:space="preserve"> syndrome (Gilbert's vs. CNS Type II).</w:t>
      </w:r>
    </w:p>
    <w:p w14:paraId="2D884CDE" w14:textId="77777777" w:rsidR="00433A81" w:rsidRDefault="003501E0">
      <w:pPr>
        <w:pStyle w:val="Heading2"/>
        <w:spacing w:before="232"/>
      </w:pPr>
      <w:r>
        <w:t>Phenobarbital</w:t>
      </w:r>
      <w:r>
        <w:rPr>
          <w:spacing w:val="-5"/>
        </w:rPr>
        <w:t xml:space="preserve"> </w:t>
      </w:r>
      <w:r>
        <w:t>Challenge</w:t>
      </w:r>
      <w:r>
        <w:rPr>
          <w:spacing w:val="-4"/>
        </w:rPr>
        <w:t xml:space="preserve"> Test</w:t>
      </w:r>
    </w:p>
    <w:p w14:paraId="60F9B04C" w14:textId="77777777" w:rsidR="00433A81" w:rsidRDefault="003501E0">
      <w:pPr>
        <w:spacing w:before="237"/>
        <w:ind w:left="125"/>
        <w:rPr>
          <w:sz w:val="21"/>
        </w:rPr>
      </w:pPr>
      <w:r>
        <w:rPr>
          <w:sz w:val="21"/>
        </w:rPr>
        <w:t>The</w:t>
      </w:r>
      <w:r>
        <w:rPr>
          <w:spacing w:val="6"/>
          <w:sz w:val="21"/>
        </w:rPr>
        <w:t xml:space="preserve"> </w:t>
      </w:r>
      <w:r>
        <w:rPr>
          <w:sz w:val="21"/>
        </w:rPr>
        <w:t>patient</w:t>
      </w:r>
      <w:r>
        <w:rPr>
          <w:spacing w:val="7"/>
          <w:sz w:val="21"/>
        </w:rPr>
        <w:t xml:space="preserve"> </w:t>
      </w:r>
      <w:r>
        <w:rPr>
          <w:sz w:val="21"/>
        </w:rPr>
        <w:t>was</w:t>
      </w:r>
      <w:r>
        <w:rPr>
          <w:spacing w:val="7"/>
          <w:sz w:val="21"/>
        </w:rPr>
        <w:t xml:space="preserve"> </w:t>
      </w:r>
      <w:r>
        <w:rPr>
          <w:sz w:val="21"/>
        </w:rPr>
        <w:t>administered</w:t>
      </w:r>
      <w:r>
        <w:rPr>
          <w:spacing w:val="7"/>
          <w:sz w:val="21"/>
        </w:rPr>
        <w:t xml:space="preserve"> </w:t>
      </w:r>
      <w:r>
        <w:rPr>
          <w:b/>
          <w:sz w:val="21"/>
        </w:rPr>
        <w:t>Phenobarbital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90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mg/day</w:t>
      </w:r>
      <w:r>
        <w:rPr>
          <w:b/>
          <w:spacing w:val="7"/>
          <w:sz w:val="21"/>
        </w:rPr>
        <w:t xml:space="preserve"> </w:t>
      </w:r>
      <w:r>
        <w:rPr>
          <w:sz w:val="21"/>
        </w:rPr>
        <w:t>for</w:t>
      </w:r>
      <w:r>
        <w:rPr>
          <w:spacing w:val="7"/>
          <w:sz w:val="21"/>
        </w:rPr>
        <w:t xml:space="preserve"> </w:t>
      </w:r>
      <w:r>
        <w:rPr>
          <w:sz w:val="21"/>
        </w:rPr>
        <w:t>two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weeks.</w:t>
      </w:r>
    </w:p>
    <w:tbl>
      <w:tblPr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3035"/>
        <w:gridCol w:w="3035"/>
      </w:tblGrid>
      <w:tr w:rsidR="00433A81" w14:paraId="06EB6F92" w14:textId="77777777">
        <w:trPr>
          <w:trHeight w:val="245"/>
        </w:trPr>
        <w:tc>
          <w:tcPr>
            <w:tcW w:w="3035" w:type="dxa"/>
          </w:tcPr>
          <w:p w14:paraId="65ED30AB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Bilirubin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Levels</w:t>
            </w:r>
          </w:p>
        </w:tc>
        <w:tc>
          <w:tcPr>
            <w:tcW w:w="3035" w:type="dxa"/>
          </w:tcPr>
          <w:p w14:paraId="577100E3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Before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Phenobarbital</w:t>
            </w:r>
          </w:p>
        </w:tc>
        <w:tc>
          <w:tcPr>
            <w:tcW w:w="3035" w:type="dxa"/>
          </w:tcPr>
          <w:p w14:paraId="253BEC78" w14:textId="77777777" w:rsidR="00433A81" w:rsidRDefault="003501E0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After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Phenobarbital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(2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weeks)</w:t>
            </w:r>
          </w:p>
        </w:tc>
      </w:tr>
      <w:tr w:rsidR="00433A81" w14:paraId="278D7089" w14:textId="77777777">
        <w:trPr>
          <w:trHeight w:val="245"/>
        </w:trPr>
        <w:tc>
          <w:tcPr>
            <w:tcW w:w="3035" w:type="dxa"/>
          </w:tcPr>
          <w:p w14:paraId="1123DB74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Bilirubin</w:t>
            </w:r>
          </w:p>
        </w:tc>
        <w:tc>
          <w:tcPr>
            <w:tcW w:w="3035" w:type="dxa"/>
          </w:tcPr>
          <w:p w14:paraId="27A6B973" w14:textId="77777777" w:rsidR="00433A81" w:rsidRDefault="003501E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19.2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mg/dL</w:t>
            </w:r>
          </w:p>
        </w:tc>
        <w:tc>
          <w:tcPr>
            <w:tcW w:w="3035" w:type="dxa"/>
          </w:tcPr>
          <w:p w14:paraId="42252F1E" w14:textId="77777777" w:rsidR="00433A81" w:rsidRDefault="003501E0">
            <w:pPr>
              <w:pStyle w:val="TableParagraph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10.9</w:t>
            </w:r>
            <w:r>
              <w:rPr>
                <w:b/>
                <w:sz w:val="21"/>
              </w:rPr>
              <w:t>0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mg/dL</w:t>
            </w:r>
          </w:p>
        </w:tc>
      </w:tr>
      <w:tr w:rsidR="00433A81" w14:paraId="077B0690" w14:textId="77777777">
        <w:trPr>
          <w:trHeight w:val="245"/>
        </w:trPr>
        <w:tc>
          <w:tcPr>
            <w:tcW w:w="3035" w:type="dxa"/>
          </w:tcPr>
          <w:p w14:paraId="7822FB0D" w14:textId="77777777" w:rsidR="00433A81" w:rsidRDefault="003501E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Indirect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Bilirubin</w:t>
            </w:r>
          </w:p>
        </w:tc>
        <w:tc>
          <w:tcPr>
            <w:tcW w:w="3035" w:type="dxa"/>
          </w:tcPr>
          <w:p w14:paraId="71062645" w14:textId="77777777" w:rsidR="00433A81" w:rsidRDefault="003501E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18.70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mg/dL</w:t>
            </w:r>
          </w:p>
        </w:tc>
        <w:tc>
          <w:tcPr>
            <w:tcW w:w="3035" w:type="dxa"/>
          </w:tcPr>
          <w:p w14:paraId="13F70B59" w14:textId="77777777" w:rsidR="00433A81" w:rsidRDefault="003501E0">
            <w:pPr>
              <w:pStyle w:val="TableParagraph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10.50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mg/dL</w:t>
            </w:r>
          </w:p>
        </w:tc>
      </w:tr>
      <w:tr w:rsidR="00433A81" w14:paraId="5ED88B9F" w14:textId="77777777">
        <w:trPr>
          <w:trHeight w:val="245"/>
        </w:trPr>
        <w:tc>
          <w:tcPr>
            <w:tcW w:w="3035" w:type="dxa"/>
          </w:tcPr>
          <w:p w14:paraId="15B782C1" w14:textId="77777777" w:rsidR="00433A81" w:rsidRDefault="003501E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Reduction</w:t>
            </w:r>
          </w:p>
        </w:tc>
        <w:tc>
          <w:tcPr>
            <w:tcW w:w="3035" w:type="dxa"/>
          </w:tcPr>
          <w:p w14:paraId="3C1FE1AF" w14:textId="77777777" w:rsidR="00433A81" w:rsidRDefault="003501E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-</w:t>
            </w:r>
          </w:p>
        </w:tc>
        <w:tc>
          <w:tcPr>
            <w:tcW w:w="3035" w:type="dxa"/>
          </w:tcPr>
          <w:p w14:paraId="2E21B990" w14:textId="77777777" w:rsidR="00433A81" w:rsidRDefault="003501E0">
            <w:pPr>
              <w:pStyle w:val="TableParagraph"/>
              <w:ind w:left="8"/>
              <w:rPr>
                <w:b/>
                <w:sz w:val="21"/>
              </w:rPr>
            </w:pP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43%</w:t>
            </w:r>
          </w:p>
        </w:tc>
      </w:tr>
    </w:tbl>
    <w:p w14:paraId="34714973" w14:textId="77777777" w:rsidR="00433A81" w:rsidRDefault="003501E0">
      <w:pPr>
        <w:pStyle w:val="ListParagraph"/>
        <w:numPr>
          <w:ilvl w:val="1"/>
          <w:numId w:val="1"/>
        </w:numPr>
        <w:tabs>
          <w:tab w:val="left" w:pos="709"/>
        </w:tabs>
        <w:spacing w:before="5" w:line="244" w:lineRule="auto"/>
        <w:ind w:right="925"/>
        <w:rPr>
          <w:sz w:val="21"/>
        </w:rPr>
      </w:pPr>
      <w:r>
        <w:rPr>
          <w:sz w:val="21"/>
        </w:rPr>
        <w:t>The 43%</w:t>
      </w:r>
      <w:r>
        <w:rPr>
          <w:sz w:val="21"/>
        </w:rPr>
        <w:t>reduction</w:t>
      </w:r>
      <w:r>
        <w:rPr>
          <w:sz w:val="21"/>
        </w:rPr>
        <w:t xml:space="preserve"> confirms the diagnosis of </w:t>
      </w:r>
      <w:proofErr w:type="spellStart"/>
      <w:r>
        <w:rPr>
          <w:b/>
          <w:bCs/>
          <w:sz w:val="21"/>
        </w:rPr>
        <w:t>Criglar-Najjar</w:t>
      </w:r>
      <w:proofErr w:type="spellEnd"/>
      <w:r>
        <w:rPr>
          <w:b/>
          <w:bCs/>
          <w:sz w:val="21"/>
        </w:rPr>
        <w:t xml:space="preserve"> Syndrome type II</w:t>
      </w:r>
    </w:p>
    <w:p w14:paraId="791B8FD3" w14:textId="77777777" w:rsidR="00433A81" w:rsidRDefault="003501E0">
      <w:pPr>
        <w:pStyle w:val="Heading2"/>
      </w:pPr>
      <w:r>
        <w:t>Liver</w:t>
      </w:r>
      <w:r>
        <w:rPr>
          <w:spacing w:val="-5"/>
        </w:rPr>
        <w:t xml:space="preserve"> </w:t>
      </w:r>
      <w:r>
        <w:t>Biopsy</w:t>
      </w:r>
      <w:r>
        <w:rPr>
          <w:spacing w:val="-4"/>
        </w:rPr>
        <w:t xml:space="preserve"> </w:t>
      </w:r>
      <w:r>
        <w:rPr>
          <w:spacing w:val="-2"/>
        </w:rPr>
        <w:t>Findings</w:t>
      </w:r>
    </w:p>
    <w:p w14:paraId="316983B2" w14:textId="77777777" w:rsidR="00433A81" w:rsidRDefault="003501E0">
      <w:pPr>
        <w:pStyle w:val="BodyText"/>
        <w:spacing w:before="238" w:line="244" w:lineRule="auto"/>
      </w:pPr>
      <w:r>
        <w:t xml:space="preserve">Liver biopsy was performed to investigate the cause of the mild elevation in transaminases (ALT/AST) and suggested features of </w:t>
      </w:r>
      <w:r>
        <w:rPr>
          <w:b/>
        </w:rPr>
        <w:t xml:space="preserve">Non-Alcoholic </w:t>
      </w:r>
      <w:proofErr w:type="spellStart"/>
      <w:r>
        <w:rPr>
          <w:b/>
        </w:rPr>
        <w:t>Steatohepatitis</w:t>
      </w:r>
      <w:proofErr w:type="spellEnd"/>
      <w:r>
        <w:rPr>
          <w:b/>
        </w:rPr>
        <w:t xml:space="preserve"> (NASH) </w:t>
      </w:r>
      <w:r>
        <w:t>with an activity score of 4/8.</w:t>
      </w:r>
    </w:p>
    <w:p w14:paraId="37EE08AD" w14:textId="77777777" w:rsidR="00433A81" w:rsidRDefault="003501E0">
      <w:pPr>
        <w:pStyle w:val="Heading1"/>
        <w:numPr>
          <w:ilvl w:val="0"/>
          <w:numId w:val="1"/>
        </w:numPr>
        <w:tabs>
          <w:tab w:val="left" w:pos="514"/>
        </w:tabs>
        <w:ind w:hanging="389"/>
      </w:pPr>
      <w:r>
        <w:rPr>
          <w:spacing w:val="-2"/>
        </w:rPr>
        <w:t>Conclusion</w:t>
      </w:r>
    </w:p>
    <w:p w14:paraId="41CF937D" w14:textId="77777777" w:rsidR="00433A81" w:rsidRDefault="003501E0">
      <w:pPr>
        <w:pStyle w:val="ListParagraph"/>
        <w:numPr>
          <w:ilvl w:val="1"/>
          <w:numId w:val="1"/>
        </w:numPr>
        <w:tabs>
          <w:tab w:val="left" w:pos="708"/>
        </w:tabs>
        <w:spacing w:before="222"/>
        <w:ind w:left="708" w:hanging="349"/>
        <w:jc w:val="both"/>
        <w:rPr>
          <w:sz w:val="21"/>
        </w:rPr>
      </w:pPr>
      <w:r>
        <w:rPr>
          <w:b/>
          <w:sz w:val="21"/>
        </w:rPr>
        <w:t>Diagnostic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Confirmation</w:t>
      </w:r>
      <w:r>
        <w:rPr>
          <w:sz w:val="21"/>
        </w:rPr>
        <w:t>:</w:t>
      </w:r>
      <w:r>
        <w:rPr>
          <w:spacing w:val="7"/>
          <w:sz w:val="21"/>
        </w:rPr>
        <w:t xml:space="preserve"> </w:t>
      </w:r>
      <w:r>
        <w:rPr>
          <w:sz w:val="21"/>
        </w:rPr>
        <w:t>This</w:t>
      </w:r>
      <w:r>
        <w:rPr>
          <w:spacing w:val="7"/>
          <w:sz w:val="21"/>
        </w:rPr>
        <w:t xml:space="preserve"> </w:t>
      </w:r>
      <w:r>
        <w:rPr>
          <w:sz w:val="21"/>
        </w:rPr>
        <w:t>case</w:t>
      </w:r>
      <w:r>
        <w:rPr>
          <w:spacing w:val="7"/>
          <w:sz w:val="21"/>
        </w:rPr>
        <w:t xml:space="preserve"> </w:t>
      </w:r>
      <w:r>
        <w:rPr>
          <w:sz w:val="21"/>
        </w:rPr>
        <w:t>highlights</w:t>
      </w:r>
      <w:r>
        <w:rPr>
          <w:spacing w:val="7"/>
          <w:sz w:val="21"/>
        </w:rPr>
        <w:t xml:space="preserve"> </w:t>
      </w:r>
      <w:r>
        <w:rPr>
          <w:sz w:val="21"/>
        </w:rPr>
        <w:t>the</w:t>
      </w:r>
      <w:r>
        <w:rPr>
          <w:spacing w:val="7"/>
          <w:sz w:val="21"/>
        </w:rPr>
        <w:t xml:space="preserve"> </w:t>
      </w:r>
      <w:r>
        <w:rPr>
          <w:sz w:val="21"/>
        </w:rPr>
        <w:t>critical</w:t>
      </w:r>
      <w:r>
        <w:rPr>
          <w:spacing w:val="7"/>
          <w:sz w:val="21"/>
        </w:rPr>
        <w:t xml:space="preserve"> </w:t>
      </w:r>
      <w:r>
        <w:rPr>
          <w:sz w:val="21"/>
        </w:rPr>
        <w:t>importance</w:t>
      </w:r>
      <w:r>
        <w:rPr>
          <w:spacing w:val="7"/>
          <w:sz w:val="21"/>
        </w:rPr>
        <w:t xml:space="preserve"> </w:t>
      </w:r>
      <w:r>
        <w:rPr>
          <w:sz w:val="21"/>
        </w:rPr>
        <w:t>of</w:t>
      </w:r>
      <w:r>
        <w:rPr>
          <w:spacing w:val="7"/>
          <w:sz w:val="21"/>
        </w:rPr>
        <w:t xml:space="preserve"> </w:t>
      </w:r>
      <w:r>
        <w:rPr>
          <w:spacing w:val="-5"/>
          <w:sz w:val="21"/>
        </w:rPr>
        <w:t>the</w:t>
      </w:r>
    </w:p>
    <w:p w14:paraId="5359F68E" w14:textId="77777777" w:rsidR="00433A81" w:rsidRDefault="003501E0">
      <w:pPr>
        <w:spacing w:before="5" w:line="244" w:lineRule="auto"/>
        <w:ind w:left="709" w:right="688"/>
        <w:jc w:val="both"/>
        <w:rPr>
          <w:sz w:val="21"/>
        </w:rPr>
      </w:pPr>
      <w:r>
        <w:rPr>
          <w:b/>
          <w:sz w:val="21"/>
        </w:rPr>
        <w:t xml:space="preserve">Phenobarbital Challenge Test </w:t>
      </w:r>
      <w:r>
        <w:rPr>
          <w:sz w:val="21"/>
        </w:rPr>
        <w:t>in definitively distinguishing CNS Type II (significant response) from Gilbert's Syndrome (minimal/no response).</w:t>
      </w:r>
    </w:p>
    <w:p w14:paraId="3D547EC0" w14:textId="77777777" w:rsidR="00433A81" w:rsidRDefault="003501E0">
      <w:pPr>
        <w:pStyle w:val="ListParagraph"/>
        <w:numPr>
          <w:ilvl w:val="1"/>
          <w:numId w:val="1"/>
        </w:numPr>
        <w:tabs>
          <w:tab w:val="left" w:pos="707"/>
          <w:tab w:val="left" w:pos="709"/>
        </w:tabs>
        <w:spacing w:line="244" w:lineRule="auto"/>
        <w:ind w:right="271"/>
        <w:jc w:val="both"/>
        <w:rPr>
          <w:sz w:val="21"/>
        </w:rPr>
      </w:pPr>
      <w:r>
        <w:rPr>
          <w:b/>
          <w:sz w:val="21"/>
        </w:rPr>
        <w:t>Clinical Co-existence</w:t>
      </w:r>
      <w:r>
        <w:rPr>
          <w:sz w:val="21"/>
        </w:rPr>
        <w:t>: The presentation represents a rare instance of a chronic genetic metabolic disorder (CNS Type II) co-existing with the common liver pathology of NAFLD, complicating the initial interpretation of liver enzyme results.</w:t>
      </w:r>
    </w:p>
    <w:p w14:paraId="6D8F6B6E" w14:textId="77777777" w:rsidR="00433A81" w:rsidRDefault="003501E0">
      <w:pPr>
        <w:pStyle w:val="ListParagraph"/>
        <w:numPr>
          <w:ilvl w:val="1"/>
          <w:numId w:val="1"/>
        </w:numPr>
        <w:tabs>
          <w:tab w:val="left" w:pos="707"/>
          <w:tab w:val="left" w:pos="709"/>
        </w:tabs>
        <w:spacing w:line="244" w:lineRule="auto"/>
        <w:ind w:right="224"/>
        <w:jc w:val="both"/>
        <w:rPr>
          <w:sz w:val="21"/>
        </w:rPr>
      </w:pPr>
      <w:r>
        <w:rPr>
          <w:b/>
          <w:sz w:val="21"/>
        </w:rPr>
        <w:t>Prognosis</w:t>
      </w:r>
      <w:r>
        <w:rPr>
          <w:sz w:val="21"/>
        </w:rPr>
        <w:t xml:space="preserve">: Early and confirmed diagnosis allows for effective management with </w:t>
      </w:r>
      <w:r>
        <w:rPr>
          <w:b/>
          <w:sz w:val="21"/>
        </w:rPr>
        <w:t>lifelong Phenobarbital therapy</w:t>
      </w:r>
      <w:r>
        <w:rPr>
          <w:sz w:val="21"/>
        </w:rPr>
        <w:t>, leading to a favorable long-term prognosis for CNS Type II.</w:t>
      </w:r>
    </w:p>
    <w:sectPr w:rsidR="00433A81">
      <w:pgSz w:w="11910" w:h="16840"/>
      <w:pgMar w:top="1920" w:right="1275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43009" w14:textId="77777777" w:rsidR="00433A81" w:rsidRDefault="003501E0">
      <w:r>
        <w:separator/>
      </w:r>
    </w:p>
  </w:endnote>
  <w:endnote w:type="continuationSeparator" w:id="0">
    <w:p w14:paraId="59BE149E" w14:textId="77777777" w:rsidR="00433A81" w:rsidRDefault="00350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0EE8" w14:textId="77777777" w:rsidR="00433A81" w:rsidRDefault="003501E0">
      <w:r>
        <w:separator/>
      </w:r>
    </w:p>
  </w:footnote>
  <w:footnote w:type="continuationSeparator" w:id="0">
    <w:p w14:paraId="6FA79EC1" w14:textId="77777777" w:rsidR="00433A81" w:rsidRDefault="00350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514" w:hanging="39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35"/>
        <w:szCs w:val="35"/>
        <w:lang w:val="en-US" w:eastAsia="en-US" w:bidi="ar-SA"/>
      </w:rPr>
    </w:lvl>
    <w:lvl w:ilvl="1">
      <w:numFmt w:val="bullet"/>
      <w:lvlText w:val="●"/>
      <w:lvlJc w:val="left"/>
      <w:pPr>
        <w:ind w:left="709" w:hanging="3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1661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23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85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46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08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70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2" w:hanging="351"/>
      </w:pPr>
      <w:rPr>
        <w:rFonts w:hint="default"/>
        <w:lang w:val="en-US" w:eastAsia="en-US" w:bidi="ar-SA"/>
      </w:rPr>
    </w:lvl>
  </w:abstractNum>
  <w:num w:numId="1" w16cid:durableId="164989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3A81"/>
    <w:rsid w:val="00033505"/>
    <w:rsid w:val="00223703"/>
    <w:rsid w:val="003501E0"/>
    <w:rsid w:val="003B7854"/>
    <w:rsid w:val="00433A81"/>
    <w:rsid w:val="004751DC"/>
    <w:rsid w:val="00516D75"/>
    <w:rsid w:val="006D324B"/>
    <w:rsid w:val="00AC2433"/>
    <w:rsid w:val="00C46EB5"/>
    <w:rsid w:val="00CA762B"/>
    <w:rsid w:val="00CB0853"/>
    <w:rsid w:val="00E3205C"/>
    <w:rsid w:val="26C352F2"/>
    <w:rsid w:val="32264B0B"/>
    <w:rsid w:val="3D8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CEC053"/>
  <w15:docId w15:val="{3969F01D-C5F6-C94A-9327-EC810947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uiPriority w:val="1"/>
    <w:qFormat/>
    <w:pPr>
      <w:spacing w:before="215"/>
      <w:ind w:left="514" w:hanging="389"/>
      <w:outlineLvl w:val="0"/>
    </w:pPr>
    <w:rPr>
      <w:b/>
      <w:bCs/>
      <w:sz w:val="35"/>
      <w:szCs w:val="35"/>
    </w:rPr>
  </w:style>
  <w:style w:type="paragraph" w:styleId="Heading2">
    <w:name w:val="heading 2"/>
    <w:basedOn w:val="Normal"/>
    <w:uiPriority w:val="1"/>
    <w:qFormat/>
    <w:pPr>
      <w:spacing w:before="231"/>
      <w:ind w:left="125"/>
      <w:outlineLvl w:val="1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5" w:right="261"/>
    </w:pPr>
    <w:rPr>
      <w:sz w:val="21"/>
      <w:szCs w:val="21"/>
    </w:rPr>
  </w:style>
  <w:style w:type="paragraph" w:styleId="Title">
    <w:name w:val="Title"/>
    <w:basedOn w:val="Normal"/>
    <w:uiPriority w:val="1"/>
    <w:qFormat/>
    <w:pPr>
      <w:spacing w:before="418"/>
      <w:ind w:left="125" w:right="252"/>
      <w:jc w:val="both"/>
    </w:pPr>
    <w:rPr>
      <w:b/>
      <w:bCs/>
      <w:sz w:val="46"/>
      <w:szCs w:val="46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709" w:hanging="351"/>
    </w:pPr>
  </w:style>
  <w:style w:type="paragraph" w:customStyle="1" w:styleId="TableParagraph">
    <w:name w:val="Table Paragraph"/>
    <w:basedOn w:val="Normal"/>
    <w:uiPriority w:val="1"/>
    <w:qFormat/>
    <w:pPr>
      <w:spacing w:before="3" w:line="222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Crigler-Najjar%20Syndrome%20Type%20II%20Poster%20Content.pdf</dc:title>
  <dc:creator>HP</dc:creator>
  <cp:lastModifiedBy>Haider Ali</cp:lastModifiedBy>
  <cp:revision>11</cp:revision>
  <dcterms:created xsi:type="dcterms:W3CDTF">2025-12-15T16:21:00Z</dcterms:created>
  <dcterms:modified xsi:type="dcterms:W3CDTF">2025-12-15T16:26:00Z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pdftopdf filter</vt:lpwstr>
  </property>
  <property fmtid="{D5CDD505-2E9C-101B-9397-08002B2CF9AE}" pid="4" name="LastSaved">
    <vt:filetime>2025-10-02T00:00:00Z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1033-12.2.0.22549</vt:lpwstr>
  </property>
  <property fmtid="{D5CDD505-2E9C-101B-9397-08002B2CF9AE}" pid="7" name="ICV">
    <vt:lpwstr>69AD261064A749879EF7BD863C4F2903_12</vt:lpwstr>
  </property>
</Properties>
</file>