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1F9FA" w14:textId="77777777" w:rsidR="001C28DC" w:rsidRDefault="001C28DC" w:rsidP="00695018">
      <w:pPr>
        <w:spacing w:after="0" w:line="276" w:lineRule="auto"/>
        <w:jc w:val="center"/>
        <w:rPr>
          <w:rFonts w:asciiTheme="majorBidi" w:hAnsiTheme="majorBidi" w:cstheme="majorBidi"/>
          <w:b/>
          <w:bCs/>
        </w:rPr>
      </w:pPr>
      <w:r w:rsidRPr="001C28DC">
        <w:rPr>
          <w:rFonts w:asciiTheme="majorBidi" w:hAnsiTheme="majorBidi" w:cstheme="majorBidi"/>
          <w:b/>
          <w:bCs/>
        </w:rPr>
        <w:t>Validation Status of Online Commercially Available BP Monitors in Pakistan</w:t>
      </w:r>
    </w:p>
    <w:p w14:paraId="1D69CA9A" w14:textId="77777777" w:rsidR="00397865" w:rsidRPr="00397865" w:rsidRDefault="00397865" w:rsidP="00397865">
      <w:pPr>
        <w:spacing w:after="0" w:line="276" w:lineRule="auto"/>
        <w:rPr>
          <w:rFonts w:asciiTheme="majorBidi" w:hAnsiTheme="majorBidi" w:cstheme="majorBidi"/>
        </w:rPr>
      </w:pPr>
    </w:p>
    <w:p w14:paraId="7E8E33AF" w14:textId="3F14AF17" w:rsidR="00397865" w:rsidRPr="00397865" w:rsidRDefault="00397865" w:rsidP="00397865">
      <w:pPr>
        <w:spacing w:after="0" w:line="276" w:lineRule="auto"/>
        <w:rPr>
          <w:rFonts w:asciiTheme="majorBidi" w:hAnsiTheme="majorBidi" w:cstheme="majorBidi"/>
          <w:vertAlign w:val="superscript"/>
        </w:rPr>
      </w:pPr>
      <w:r w:rsidRPr="00397865">
        <w:rPr>
          <w:rFonts w:asciiTheme="majorBidi" w:hAnsiTheme="majorBidi" w:cstheme="majorBidi"/>
        </w:rPr>
        <w:t xml:space="preserve"> Rija Khalid</w:t>
      </w:r>
      <w:r>
        <w:rPr>
          <w:rFonts w:asciiTheme="majorBidi" w:hAnsiTheme="majorBidi" w:cstheme="majorBidi"/>
          <w:vertAlign w:val="superscript"/>
        </w:rPr>
        <w:t>1</w:t>
      </w:r>
      <w:r w:rsidRPr="00397865">
        <w:rPr>
          <w:rFonts w:asciiTheme="majorBidi" w:hAnsiTheme="majorBidi" w:cstheme="majorBidi"/>
        </w:rPr>
        <w:t>, Roziqa Khalid</w:t>
      </w:r>
      <w:r>
        <w:rPr>
          <w:rFonts w:asciiTheme="majorBidi" w:hAnsiTheme="majorBidi" w:cstheme="majorBidi"/>
          <w:vertAlign w:val="superscript"/>
        </w:rPr>
        <w:t>2</w:t>
      </w:r>
      <w:r w:rsidRPr="00397865">
        <w:rPr>
          <w:rFonts w:asciiTheme="majorBidi" w:hAnsiTheme="majorBidi" w:cstheme="majorBidi"/>
        </w:rPr>
        <w:t>, Daniyal Aziz Khan</w:t>
      </w:r>
      <w:r>
        <w:rPr>
          <w:rFonts w:asciiTheme="majorBidi" w:hAnsiTheme="majorBidi" w:cstheme="majorBidi"/>
          <w:vertAlign w:val="superscript"/>
        </w:rPr>
        <w:t>1</w:t>
      </w:r>
      <w:r w:rsidRPr="00397865">
        <w:rPr>
          <w:rFonts w:asciiTheme="majorBidi" w:hAnsiTheme="majorBidi" w:cstheme="majorBidi"/>
        </w:rPr>
        <w:t>, Azra Mahmud</w:t>
      </w:r>
      <w:r>
        <w:rPr>
          <w:rFonts w:asciiTheme="majorBidi" w:hAnsiTheme="majorBidi" w:cstheme="majorBidi"/>
          <w:vertAlign w:val="superscript"/>
        </w:rPr>
        <w:t>1</w:t>
      </w:r>
    </w:p>
    <w:p w14:paraId="1B98E824" w14:textId="390BAF16" w:rsidR="00FD05CB" w:rsidRDefault="00397865" w:rsidP="00397865">
      <w:pPr>
        <w:spacing w:after="0" w:line="276" w:lineRule="auto"/>
        <w:rPr>
          <w:rFonts w:asciiTheme="majorBidi" w:hAnsiTheme="majorBidi" w:cstheme="majorBidi"/>
        </w:rPr>
      </w:pPr>
      <w:r>
        <w:rPr>
          <w:rFonts w:asciiTheme="majorBidi" w:hAnsiTheme="majorBidi" w:cstheme="majorBidi"/>
          <w:vertAlign w:val="superscript"/>
        </w:rPr>
        <w:t>1</w:t>
      </w:r>
      <w:r w:rsidRPr="00397865">
        <w:rPr>
          <w:rFonts w:asciiTheme="majorBidi" w:hAnsiTheme="majorBidi" w:cstheme="majorBidi"/>
        </w:rPr>
        <w:t>Shalamar Medical &amp; Dental College, Lahore, Pakistan</w:t>
      </w:r>
    </w:p>
    <w:p w14:paraId="502CBD75" w14:textId="31BBF783" w:rsidR="00397865" w:rsidRPr="00397865" w:rsidRDefault="00397865" w:rsidP="00397865">
      <w:pPr>
        <w:spacing w:after="0" w:line="276" w:lineRule="auto"/>
        <w:rPr>
          <w:rFonts w:asciiTheme="majorBidi" w:hAnsiTheme="majorBidi" w:cstheme="majorBidi"/>
        </w:rPr>
      </w:pPr>
      <w:r>
        <w:rPr>
          <w:rFonts w:asciiTheme="majorBidi" w:hAnsiTheme="majorBidi" w:cstheme="majorBidi"/>
          <w:vertAlign w:val="superscript"/>
        </w:rPr>
        <w:t>2</w:t>
      </w:r>
      <w:r>
        <w:rPr>
          <w:rFonts w:asciiTheme="majorBidi" w:hAnsiTheme="majorBidi" w:cstheme="majorBidi"/>
        </w:rPr>
        <w:t xml:space="preserve">Mercy San Juan Medical </w:t>
      </w:r>
      <w:proofErr w:type="spellStart"/>
      <w:r>
        <w:rPr>
          <w:rFonts w:asciiTheme="majorBidi" w:hAnsiTheme="majorBidi" w:cstheme="majorBidi"/>
        </w:rPr>
        <w:t>Center</w:t>
      </w:r>
      <w:proofErr w:type="spellEnd"/>
      <w:r>
        <w:rPr>
          <w:rFonts w:asciiTheme="majorBidi" w:hAnsiTheme="majorBidi" w:cstheme="majorBidi"/>
        </w:rPr>
        <w:t>, California, USA</w:t>
      </w:r>
    </w:p>
    <w:p w14:paraId="49A8D615" w14:textId="77777777" w:rsidR="00FD05CB" w:rsidRDefault="00FD05CB" w:rsidP="00695018">
      <w:pPr>
        <w:spacing w:after="0" w:line="276" w:lineRule="auto"/>
        <w:rPr>
          <w:rFonts w:asciiTheme="majorBidi" w:hAnsiTheme="majorBidi" w:cstheme="majorBidi"/>
        </w:rPr>
      </w:pPr>
    </w:p>
    <w:p w14:paraId="29C0225F" w14:textId="77777777" w:rsidR="00695018" w:rsidRDefault="001C28DC" w:rsidP="00695018">
      <w:pPr>
        <w:spacing w:after="0" w:line="276" w:lineRule="auto"/>
        <w:rPr>
          <w:rFonts w:asciiTheme="majorBidi" w:hAnsiTheme="majorBidi" w:cstheme="majorBidi"/>
        </w:rPr>
      </w:pPr>
      <w:r w:rsidRPr="001C28DC">
        <w:rPr>
          <w:rFonts w:asciiTheme="majorBidi" w:hAnsiTheme="majorBidi" w:cstheme="majorBidi"/>
          <w:b/>
          <w:bCs/>
        </w:rPr>
        <w:t>Background</w:t>
      </w:r>
      <w:r w:rsidRPr="001C28DC">
        <w:rPr>
          <w:rFonts w:asciiTheme="majorBidi" w:hAnsiTheme="majorBidi" w:cstheme="majorBidi"/>
        </w:rPr>
        <w:t xml:space="preserve">: </w:t>
      </w:r>
    </w:p>
    <w:p w14:paraId="26FE8A8A" w14:textId="56522E1E" w:rsidR="001C28DC" w:rsidRDefault="001C28DC" w:rsidP="00695018">
      <w:pPr>
        <w:spacing w:after="0" w:line="276" w:lineRule="auto"/>
        <w:rPr>
          <w:rFonts w:asciiTheme="majorBidi" w:hAnsiTheme="majorBidi" w:cstheme="majorBidi"/>
        </w:rPr>
      </w:pPr>
      <w:r w:rsidRPr="001C28DC">
        <w:rPr>
          <w:rFonts w:asciiTheme="majorBidi" w:hAnsiTheme="majorBidi" w:cstheme="majorBidi"/>
        </w:rPr>
        <w:t>Hypertension (HTN) is the leading global cause of mortality and disability, responsible for an estimated 7.5 million deaths annually. Accurate blood pressure (BP) measurement is central to diagnosis and management, preventing both overtreatment of normotensive individuals and missed detection of uncontrolled HTN. Home BP monitoring (HBPM) is a validated, cost-effective, and convenient out-of-office method, now recommended as first-line in international guidelines. However, its effectiveness depends on the use of clinically validated devices. This study aimed to assess the proportion of BP monitors sold online in South Asia (Pakistan, Bangladesh, and India) that have been validated according to international standards.</w:t>
      </w:r>
    </w:p>
    <w:p w14:paraId="533F6CD6" w14:textId="77777777" w:rsidR="00695018" w:rsidRPr="001C28DC" w:rsidRDefault="00695018" w:rsidP="00695018">
      <w:pPr>
        <w:spacing w:after="0" w:line="276" w:lineRule="auto"/>
        <w:rPr>
          <w:rFonts w:asciiTheme="majorBidi" w:hAnsiTheme="majorBidi" w:cstheme="majorBidi"/>
        </w:rPr>
      </w:pPr>
    </w:p>
    <w:p w14:paraId="7495079F" w14:textId="77777777" w:rsidR="00695018" w:rsidRDefault="001C28DC" w:rsidP="00695018">
      <w:pPr>
        <w:spacing w:after="0" w:line="276" w:lineRule="auto"/>
        <w:rPr>
          <w:rFonts w:asciiTheme="majorBidi" w:hAnsiTheme="majorBidi" w:cstheme="majorBidi"/>
        </w:rPr>
      </w:pPr>
      <w:r w:rsidRPr="001C28DC">
        <w:rPr>
          <w:rFonts w:asciiTheme="majorBidi" w:hAnsiTheme="majorBidi" w:cstheme="majorBidi"/>
          <w:b/>
          <w:bCs/>
        </w:rPr>
        <w:t>Methods</w:t>
      </w:r>
      <w:r w:rsidRPr="001C28DC">
        <w:rPr>
          <w:rFonts w:asciiTheme="majorBidi" w:hAnsiTheme="majorBidi" w:cstheme="majorBidi"/>
        </w:rPr>
        <w:t xml:space="preserve">: </w:t>
      </w:r>
    </w:p>
    <w:p w14:paraId="0E15984B" w14:textId="4AF35873" w:rsidR="001C28DC" w:rsidRDefault="001C28DC" w:rsidP="00695018">
      <w:pPr>
        <w:spacing w:after="0" w:line="276" w:lineRule="auto"/>
        <w:rPr>
          <w:rFonts w:asciiTheme="majorBidi" w:hAnsiTheme="majorBidi" w:cstheme="majorBidi"/>
        </w:rPr>
      </w:pPr>
      <w:r w:rsidRPr="001C28DC">
        <w:rPr>
          <w:rFonts w:asciiTheme="majorBidi" w:hAnsiTheme="majorBidi" w:cstheme="majorBidi"/>
        </w:rPr>
        <w:t xml:space="preserve">A cross-sectional review of BP monitor models available on the five most visited e-commerce   platforms and online pharmacies in each country was conducted. Platforms were identified via </w:t>
      </w:r>
      <w:proofErr w:type="spellStart"/>
      <w:r w:rsidRPr="001C28DC">
        <w:rPr>
          <w:rFonts w:asciiTheme="majorBidi" w:hAnsiTheme="majorBidi" w:cstheme="majorBidi"/>
        </w:rPr>
        <w:t>Similarweb</w:t>
      </w:r>
      <w:proofErr w:type="spellEnd"/>
      <w:r w:rsidRPr="001C28DC">
        <w:rPr>
          <w:rFonts w:asciiTheme="majorBidi" w:hAnsiTheme="majorBidi" w:cstheme="majorBidi"/>
        </w:rPr>
        <w:t>. For each device, manufacturer, model, type (arm/wrist, digital/aneroid), and price were recorded. Prices were converted to USD. Validation status was determined by cross-referencing with the STRIDE registry.</w:t>
      </w:r>
    </w:p>
    <w:p w14:paraId="698AC90A" w14:textId="77777777" w:rsidR="00695018" w:rsidRPr="001C28DC" w:rsidRDefault="00695018" w:rsidP="00695018">
      <w:pPr>
        <w:spacing w:after="0" w:line="276" w:lineRule="auto"/>
        <w:rPr>
          <w:rFonts w:asciiTheme="majorBidi" w:hAnsiTheme="majorBidi" w:cstheme="majorBidi"/>
        </w:rPr>
      </w:pPr>
    </w:p>
    <w:p w14:paraId="32CACCD4" w14:textId="77777777" w:rsidR="00695018" w:rsidRDefault="001C28DC" w:rsidP="00695018">
      <w:pPr>
        <w:spacing w:after="0" w:line="276" w:lineRule="auto"/>
        <w:rPr>
          <w:rFonts w:asciiTheme="majorBidi" w:hAnsiTheme="majorBidi" w:cstheme="majorBidi"/>
        </w:rPr>
      </w:pPr>
      <w:r w:rsidRPr="001C28DC">
        <w:rPr>
          <w:rFonts w:asciiTheme="majorBidi" w:hAnsiTheme="majorBidi" w:cstheme="majorBidi"/>
          <w:b/>
          <w:bCs/>
        </w:rPr>
        <w:t>Results</w:t>
      </w:r>
      <w:r w:rsidRPr="001C28DC">
        <w:rPr>
          <w:rFonts w:asciiTheme="majorBidi" w:hAnsiTheme="majorBidi" w:cstheme="majorBidi"/>
        </w:rPr>
        <w:t xml:space="preserve">: </w:t>
      </w:r>
    </w:p>
    <w:p w14:paraId="6D8025A6" w14:textId="1452426B" w:rsidR="001C28DC" w:rsidRDefault="001C28DC" w:rsidP="00695018">
      <w:pPr>
        <w:spacing w:after="0" w:line="276" w:lineRule="auto"/>
        <w:rPr>
          <w:rFonts w:asciiTheme="majorBidi" w:hAnsiTheme="majorBidi" w:cstheme="majorBidi"/>
        </w:rPr>
      </w:pPr>
      <w:r w:rsidRPr="001C28DC">
        <w:rPr>
          <w:rFonts w:asciiTheme="majorBidi" w:hAnsiTheme="majorBidi" w:cstheme="majorBidi"/>
        </w:rPr>
        <w:t xml:space="preserve">Across 24 platforms, 2040 BP monitors representing 1326 unique models from 300 manufacturers were identified; 258 models were unbranded. Only 10.9% (n=222) were validated, with 93.2% being upper arm and 6.8% wrist devices. Six companies offered validated devices: Omron, Breuer, </w:t>
      </w:r>
      <w:proofErr w:type="spellStart"/>
      <w:r w:rsidRPr="001C28DC">
        <w:rPr>
          <w:rFonts w:asciiTheme="majorBidi" w:hAnsiTheme="majorBidi" w:cstheme="majorBidi"/>
        </w:rPr>
        <w:t>Microlife</w:t>
      </w:r>
      <w:proofErr w:type="spellEnd"/>
      <w:r w:rsidRPr="001C28DC">
        <w:rPr>
          <w:rFonts w:asciiTheme="majorBidi" w:hAnsiTheme="majorBidi" w:cstheme="majorBidi"/>
        </w:rPr>
        <w:t xml:space="preserve">, </w:t>
      </w:r>
      <w:proofErr w:type="spellStart"/>
      <w:r w:rsidRPr="001C28DC">
        <w:rPr>
          <w:rFonts w:asciiTheme="majorBidi" w:hAnsiTheme="majorBidi" w:cstheme="majorBidi"/>
        </w:rPr>
        <w:t>Rossmax</w:t>
      </w:r>
      <w:proofErr w:type="spellEnd"/>
      <w:r w:rsidRPr="001C28DC">
        <w:rPr>
          <w:rFonts w:asciiTheme="majorBidi" w:hAnsiTheme="majorBidi" w:cstheme="majorBidi"/>
        </w:rPr>
        <w:t xml:space="preserve">, </w:t>
      </w:r>
      <w:proofErr w:type="spellStart"/>
      <w:r w:rsidRPr="001C28DC">
        <w:rPr>
          <w:rFonts w:asciiTheme="majorBidi" w:hAnsiTheme="majorBidi" w:cstheme="majorBidi"/>
        </w:rPr>
        <w:t>Yuwell</w:t>
      </w:r>
      <w:proofErr w:type="spellEnd"/>
      <w:r w:rsidRPr="001C28DC">
        <w:rPr>
          <w:rFonts w:asciiTheme="majorBidi" w:hAnsiTheme="majorBidi" w:cstheme="majorBidi"/>
        </w:rPr>
        <w:t>, and A&amp;D. Omron accounted for over half of validated devices (55%, n=123), though it represented just 11.6% of available devices. Validated devices were consistently more expensive than non-validated ones, with the median cost highest in Pakistan (USD 36.51), followed by Bangladesh (USD 27.62) and India (USD 25.41).</w:t>
      </w:r>
    </w:p>
    <w:p w14:paraId="5F0735AD" w14:textId="77777777" w:rsidR="00695018" w:rsidRPr="001C28DC" w:rsidRDefault="00695018" w:rsidP="00695018">
      <w:pPr>
        <w:spacing w:after="0" w:line="276" w:lineRule="auto"/>
        <w:rPr>
          <w:rFonts w:asciiTheme="majorBidi" w:hAnsiTheme="majorBidi" w:cstheme="majorBidi"/>
        </w:rPr>
      </w:pPr>
    </w:p>
    <w:p w14:paraId="638884F3" w14:textId="77777777" w:rsidR="00695018" w:rsidRDefault="001C28DC" w:rsidP="00695018">
      <w:pPr>
        <w:spacing w:after="0" w:line="276" w:lineRule="auto"/>
        <w:rPr>
          <w:rFonts w:asciiTheme="majorBidi" w:hAnsiTheme="majorBidi" w:cstheme="majorBidi"/>
        </w:rPr>
      </w:pPr>
      <w:r w:rsidRPr="001C28DC">
        <w:rPr>
          <w:rFonts w:asciiTheme="majorBidi" w:hAnsiTheme="majorBidi" w:cstheme="majorBidi"/>
          <w:b/>
          <w:bCs/>
        </w:rPr>
        <w:t>Conclusion</w:t>
      </w:r>
      <w:r w:rsidRPr="001C28DC">
        <w:rPr>
          <w:rFonts w:asciiTheme="majorBidi" w:hAnsiTheme="majorBidi" w:cstheme="majorBidi"/>
        </w:rPr>
        <w:t xml:space="preserve">: </w:t>
      </w:r>
    </w:p>
    <w:p w14:paraId="7D919476" w14:textId="29209F35" w:rsidR="006472BE" w:rsidRPr="006472BE" w:rsidRDefault="001C28DC" w:rsidP="00695018">
      <w:pPr>
        <w:spacing w:after="0" w:line="276" w:lineRule="auto"/>
        <w:rPr>
          <w:rFonts w:asciiTheme="majorBidi" w:hAnsiTheme="majorBidi" w:cstheme="majorBidi"/>
        </w:rPr>
      </w:pPr>
      <w:proofErr w:type="gramStart"/>
      <w:r w:rsidRPr="001C28DC">
        <w:rPr>
          <w:rFonts w:asciiTheme="majorBidi" w:hAnsiTheme="majorBidi" w:cstheme="majorBidi"/>
        </w:rPr>
        <w:t>The vast majority of</w:t>
      </w:r>
      <w:proofErr w:type="gramEnd"/>
      <w:r w:rsidRPr="001C28DC">
        <w:rPr>
          <w:rFonts w:asciiTheme="majorBidi" w:hAnsiTheme="majorBidi" w:cstheme="majorBidi"/>
        </w:rPr>
        <w:t xml:space="preserve"> BP monitors sold online in South Asia are unvalidated, raising serious concerns for HTN care. While not all non-validated devices are necessarily inaccurate, manufacturers must establish formal validation to ensure trust and safety. The higher cost of validated monitors poses an added barrier in LMICs, where affordability strongly influences uptake. Unless both validation practices and pricing structures change, millions of patients remain at risk of misdiagnosis, inappropriate treatment, and preventable cardiovascular events.</w:t>
      </w:r>
    </w:p>
    <w:sectPr w:rsidR="006472BE" w:rsidRPr="006472BE" w:rsidSect="00F11D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25D6F"/>
    <w:multiLevelType w:val="multilevel"/>
    <w:tmpl w:val="822E9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6809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2BE"/>
    <w:rsid w:val="001C28DC"/>
    <w:rsid w:val="001D7DD3"/>
    <w:rsid w:val="0027518B"/>
    <w:rsid w:val="00397865"/>
    <w:rsid w:val="00435A7B"/>
    <w:rsid w:val="0043664B"/>
    <w:rsid w:val="005A76DC"/>
    <w:rsid w:val="006472BE"/>
    <w:rsid w:val="00695018"/>
    <w:rsid w:val="00824CBD"/>
    <w:rsid w:val="00911CBE"/>
    <w:rsid w:val="009C7FB9"/>
    <w:rsid w:val="00AE5EF4"/>
    <w:rsid w:val="00BC64E5"/>
    <w:rsid w:val="00C765F6"/>
    <w:rsid w:val="00D12796"/>
    <w:rsid w:val="00D4619F"/>
    <w:rsid w:val="00DC2276"/>
    <w:rsid w:val="00ED6EFD"/>
    <w:rsid w:val="00F11D31"/>
    <w:rsid w:val="00F4687F"/>
    <w:rsid w:val="00FA3505"/>
    <w:rsid w:val="00FD05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44C84"/>
  <w15:chartTrackingRefBased/>
  <w15:docId w15:val="{F6FF7AC1-05F9-4E37-A219-8269FDC6C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2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2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2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2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2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2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2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2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2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2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2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2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2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2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2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2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2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2BE"/>
    <w:rPr>
      <w:rFonts w:eastAsiaTheme="majorEastAsia" w:cstheme="majorBidi"/>
      <w:color w:val="272727" w:themeColor="text1" w:themeTint="D8"/>
    </w:rPr>
  </w:style>
  <w:style w:type="paragraph" w:styleId="Title">
    <w:name w:val="Title"/>
    <w:basedOn w:val="Normal"/>
    <w:next w:val="Normal"/>
    <w:link w:val="TitleChar"/>
    <w:uiPriority w:val="10"/>
    <w:qFormat/>
    <w:rsid w:val="006472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2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2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2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2BE"/>
    <w:pPr>
      <w:spacing w:before="160"/>
      <w:jc w:val="center"/>
    </w:pPr>
    <w:rPr>
      <w:i/>
      <w:iCs/>
      <w:color w:val="404040" w:themeColor="text1" w:themeTint="BF"/>
    </w:rPr>
  </w:style>
  <w:style w:type="character" w:customStyle="1" w:styleId="QuoteChar">
    <w:name w:val="Quote Char"/>
    <w:basedOn w:val="DefaultParagraphFont"/>
    <w:link w:val="Quote"/>
    <w:uiPriority w:val="29"/>
    <w:rsid w:val="006472BE"/>
    <w:rPr>
      <w:i/>
      <w:iCs/>
      <w:color w:val="404040" w:themeColor="text1" w:themeTint="BF"/>
    </w:rPr>
  </w:style>
  <w:style w:type="paragraph" w:styleId="ListParagraph">
    <w:name w:val="List Paragraph"/>
    <w:basedOn w:val="Normal"/>
    <w:uiPriority w:val="34"/>
    <w:qFormat/>
    <w:rsid w:val="006472BE"/>
    <w:pPr>
      <w:ind w:left="720"/>
      <w:contextualSpacing/>
    </w:pPr>
  </w:style>
  <w:style w:type="character" w:styleId="IntenseEmphasis">
    <w:name w:val="Intense Emphasis"/>
    <w:basedOn w:val="DefaultParagraphFont"/>
    <w:uiPriority w:val="21"/>
    <w:qFormat/>
    <w:rsid w:val="006472BE"/>
    <w:rPr>
      <w:i/>
      <w:iCs/>
      <w:color w:val="0F4761" w:themeColor="accent1" w:themeShade="BF"/>
    </w:rPr>
  </w:style>
  <w:style w:type="paragraph" w:styleId="IntenseQuote">
    <w:name w:val="Intense Quote"/>
    <w:basedOn w:val="Normal"/>
    <w:next w:val="Normal"/>
    <w:link w:val="IntenseQuoteChar"/>
    <w:uiPriority w:val="30"/>
    <w:qFormat/>
    <w:rsid w:val="006472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2BE"/>
    <w:rPr>
      <w:i/>
      <w:iCs/>
      <w:color w:val="0F4761" w:themeColor="accent1" w:themeShade="BF"/>
    </w:rPr>
  </w:style>
  <w:style w:type="character" w:styleId="IntenseReference">
    <w:name w:val="Intense Reference"/>
    <w:basedOn w:val="DefaultParagraphFont"/>
    <w:uiPriority w:val="32"/>
    <w:qFormat/>
    <w:rsid w:val="006472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Rija Khalid</dc:creator>
  <cp:keywords/>
  <dc:description/>
  <cp:lastModifiedBy>Rija Khalid</cp:lastModifiedBy>
  <cp:revision>2</cp:revision>
  <cp:lastPrinted>2025-12-15T15:45:00Z</cp:lastPrinted>
  <dcterms:created xsi:type="dcterms:W3CDTF">2025-12-15T16:32:00Z</dcterms:created>
  <dcterms:modified xsi:type="dcterms:W3CDTF">2025-12-15T16:32:00Z</dcterms:modified>
</cp:coreProperties>
</file>