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4660" w14:textId="77777777" w:rsidR="009F43B3" w:rsidRPr="009F43B3" w:rsidRDefault="009F43B3" w:rsidP="009F43B3">
      <w:pPr>
        <w:spacing w:before="100" w:beforeAutospacing="1" w:line="480" w:lineRule="auto"/>
        <w:jc w:val="both"/>
        <w:rPr>
          <w:rFonts w:ascii="Times New Roman" w:eastAsia="Calibri" w:hAnsi="Times New Roman" w:cs="Times New Roman"/>
          <w:b/>
          <w:bCs/>
          <w:lang w:eastAsia="en-PK"/>
          <w14:ligatures w14:val="none"/>
        </w:rPr>
      </w:pPr>
      <w:r w:rsidRPr="009F43B3">
        <w:rPr>
          <w:rFonts w:ascii="Times New Roman" w:eastAsia="Calibri" w:hAnsi="Times New Roman" w:cs="Times New Roman"/>
          <w:b/>
          <w:bCs/>
          <w:lang w:eastAsia="en-PK"/>
          <w14:ligatures w14:val="none"/>
        </w:rPr>
        <w:t>ORIGINAL ARTICLE</w:t>
      </w:r>
    </w:p>
    <w:p w14:paraId="0770A300" w14:textId="77777777" w:rsidR="009F43B3" w:rsidRPr="009F43B3" w:rsidRDefault="009F43B3" w:rsidP="009F43B3">
      <w:pPr>
        <w:spacing w:before="100" w:beforeAutospacing="1" w:line="480" w:lineRule="auto"/>
        <w:jc w:val="both"/>
        <w:rPr>
          <w:rFonts w:ascii="Times New Roman" w:eastAsia="Calibri" w:hAnsi="Times New Roman" w:cs="Times New Roman"/>
          <w:b/>
          <w:bCs/>
          <w:lang w:eastAsia="en-PK"/>
          <w14:ligatures w14:val="none"/>
        </w:rPr>
      </w:pPr>
      <w:r w:rsidRPr="009F43B3">
        <w:rPr>
          <w:rFonts w:ascii="Segoe UI" w:eastAsia="Times New Roman" w:hAnsi="Segoe UI" w:cs="Segoe UI"/>
          <w:b/>
          <w:bCs/>
          <w:color w:val="404040"/>
          <w:sz w:val="32"/>
          <w:szCs w:val="32"/>
          <w:lang w:eastAsia="en-PK"/>
          <w14:ligatures w14:val="none"/>
        </w:rPr>
        <w:t xml:space="preserve">Evaluating CURB-65 and </w:t>
      </w:r>
      <w:proofErr w:type="spellStart"/>
      <w:r w:rsidRPr="009F43B3">
        <w:rPr>
          <w:rFonts w:ascii="Segoe UI" w:eastAsia="Times New Roman" w:hAnsi="Segoe UI" w:cs="Segoe UI"/>
          <w:b/>
          <w:bCs/>
          <w:color w:val="404040"/>
          <w:sz w:val="32"/>
          <w:szCs w:val="32"/>
          <w:lang w:eastAsia="en-PK"/>
          <w14:ligatures w14:val="none"/>
        </w:rPr>
        <w:t>ProBNP</w:t>
      </w:r>
      <w:proofErr w:type="spellEnd"/>
      <w:r w:rsidRPr="009F43B3">
        <w:rPr>
          <w:rFonts w:ascii="Segoe UI" w:eastAsia="Times New Roman" w:hAnsi="Segoe UI" w:cs="Segoe UI"/>
          <w:b/>
          <w:bCs/>
          <w:color w:val="404040"/>
          <w:sz w:val="32"/>
          <w:szCs w:val="32"/>
          <w:lang w:eastAsia="en-PK"/>
          <w14:ligatures w14:val="none"/>
        </w:rPr>
        <w:t xml:space="preserve"> for Predicting In-Hospital Mortality in Community-Acquired Pneumonia: A Study in Pakistan"</w:t>
      </w:r>
    </w:p>
    <w:p w14:paraId="0729ED7A" w14:textId="77777777" w:rsidR="009F43B3" w:rsidRPr="009F43B3" w:rsidRDefault="009F43B3" w:rsidP="009F43B3">
      <w:pPr>
        <w:spacing w:before="100" w:beforeAutospacing="1" w:line="480" w:lineRule="auto"/>
        <w:jc w:val="both"/>
        <w:rPr>
          <w:rFonts w:ascii="Times New Roman" w:eastAsia="Calibri" w:hAnsi="Times New Roman" w:cs="Times New Roman"/>
          <w:b/>
          <w:bCs/>
          <w:sz w:val="28"/>
          <w:szCs w:val="28"/>
          <w:lang w:eastAsia="en-PK"/>
          <w14:ligatures w14:val="none"/>
        </w:rPr>
      </w:pPr>
      <w:r w:rsidRPr="009F43B3">
        <w:rPr>
          <w:rFonts w:ascii="Times New Roman" w:eastAsia="Calibri" w:hAnsi="Times New Roman" w:cs="Times New Roman"/>
          <w:b/>
          <w:bCs/>
          <w:sz w:val="28"/>
          <w:szCs w:val="28"/>
          <w:lang w:eastAsia="en-PK"/>
          <w14:ligatures w14:val="none"/>
        </w:rPr>
        <w:t>Abstract</w:t>
      </w:r>
    </w:p>
    <w:p w14:paraId="6E8816D1"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bCs/>
          <w:iCs/>
          <w:kern w:val="0"/>
          <w:lang w:eastAsia="en-PK"/>
          <w14:ligatures w14:val="none"/>
        </w:rPr>
      </w:pPr>
      <w:r w:rsidRPr="009F43B3">
        <w:rPr>
          <w:rFonts w:ascii="Times New Roman" w:eastAsia="Verdana" w:hAnsi="Times New Roman" w:cs="Times New Roman"/>
          <w:bCs/>
          <w:iCs/>
          <w:kern w:val="0"/>
          <w:lang w:eastAsia="en-PK"/>
          <w14:ligatures w14:val="none"/>
        </w:rPr>
        <w:t xml:space="preserve">Introduction </w:t>
      </w:r>
    </w:p>
    <w:p w14:paraId="75E04449"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kern w:val="0"/>
          <w:lang w:eastAsia="en-PK"/>
          <w14:ligatures w14:val="none"/>
        </w:rPr>
      </w:pPr>
      <w:r w:rsidRPr="009F43B3">
        <w:rPr>
          <w:rFonts w:ascii="Times New Roman" w:eastAsia="Verdana" w:hAnsi="Times New Roman" w:cs="Times New Roman"/>
          <w:kern w:val="0"/>
          <w:lang w:eastAsia="en-PK"/>
          <w14:ligatures w14:val="none"/>
        </w:rPr>
        <w:t>Community-acquired pneumonia (CAP) stands as a significant global health concern, contributing substantially to illness and fatalities worldwide.[1] Various serum biomarkers and established risk assessment tools, including CURB 65, pro BNP and Pneumonia Severity Index (PSI), Infectious Diseases Society of America/American Thoracic Society (IDSA/ATS) score, and Extended CURB 65, have been employed to gauge the severity of CAP [2].</w:t>
      </w:r>
    </w:p>
    <w:p w14:paraId="37A8A82B"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bCs/>
          <w:iCs/>
          <w:kern w:val="0"/>
          <w:lang w:eastAsia="en-PK"/>
          <w14:ligatures w14:val="none"/>
        </w:rPr>
      </w:pPr>
      <w:r w:rsidRPr="009F43B3">
        <w:rPr>
          <w:rFonts w:ascii="Times New Roman" w:eastAsia="Verdana" w:hAnsi="Times New Roman" w:cs="Times New Roman"/>
          <w:bCs/>
          <w:iCs/>
          <w:kern w:val="0"/>
          <w:lang w:eastAsia="en-PK"/>
          <w14:ligatures w14:val="none"/>
        </w:rPr>
        <w:t>Objective</w:t>
      </w:r>
    </w:p>
    <w:p w14:paraId="5C485901"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b/>
          <w:bCs/>
          <w:kern w:val="0"/>
          <w:lang w:eastAsia="en-PK"/>
          <w14:ligatures w14:val="none"/>
        </w:rPr>
      </w:pPr>
      <w:r w:rsidRPr="009F43B3">
        <w:rPr>
          <w:rFonts w:ascii="Times New Roman" w:eastAsia="Verdana" w:hAnsi="Times New Roman" w:cs="Times New Roman"/>
          <w:kern w:val="0"/>
          <w:lang w:eastAsia="en-PK"/>
          <w14:ligatures w14:val="none"/>
        </w:rPr>
        <w:t xml:space="preserve">To compare the CURB-65 and </w:t>
      </w:r>
      <w:proofErr w:type="spellStart"/>
      <w:r w:rsidRPr="009F43B3">
        <w:rPr>
          <w:rFonts w:ascii="Times New Roman" w:eastAsia="Verdana" w:hAnsi="Times New Roman" w:cs="Times New Roman"/>
          <w:kern w:val="0"/>
          <w:lang w:eastAsia="en-PK"/>
          <w14:ligatures w14:val="none"/>
        </w:rPr>
        <w:t>proBNP</w:t>
      </w:r>
      <w:proofErr w:type="spellEnd"/>
      <w:r w:rsidRPr="009F43B3">
        <w:rPr>
          <w:rFonts w:ascii="Times New Roman" w:eastAsia="Verdana" w:hAnsi="Times New Roman" w:cs="Times New Roman"/>
          <w:kern w:val="0"/>
          <w:lang w:eastAsia="en-PK"/>
          <w14:ligatures w14:val="none"/>
        </w:rPr>
        <w:t xml:space="preserve"> as a predictor of mortality in patient admitted with community acquired pneumonia.</w:t>
      </w:r>
    </w:p>
    <w:p w14:paraId="5E8B5DF8"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b/>
          <w:bCs/>
          <w:kern w:val="0"/>
          <w:lang w:eastAsia="en-PK"/>
          <w14:ligatures w14:val="none"/>
        </w:rPr>
      </w:pPr>
      <w:r w:rsidRPr="009F43B3">
        <w:rPr>
          <w:rFonts w:ascii="Times New Roman" w:eastAsia="Verdana" w:hAnsi="Times New Roman" w:cs="Times New Roman"/>
          <w:bCs/>
          <w:iCs/>
          <w:kern w:val="0"/>
          <w:lang w:eastAsia="en-PK"/>
          <w14:ligatures w14:val="none"/>
        </w:rPr>
        <w:t>Methods</w:t>
      </w:r>
      <w:r w:rsidRPr="009F43B3">
        <w:rPr>
          <w:rFonts w:ascii="Times New Roman" w:eastAsia="Verdana" w:hAnsi="Times New Roman" w:cs="Times New Roman"/>
          <w:b/>
          <w:bCs/>
          <w:kern w:val="0"/>
          <w:lang w:eastAsia="en-PK"/>
          <w14:ligatures w14:val="none"/>
        </w:rPr>
        <w:t xml:space="preserve"> </w:t>
      </w:r>
    </w:p>
    <w:p w14:paraId="23A0CE6F" w14:textId="77777777" w:rsidR="009F43B3" w:rsidRPr="009F43B3" w:rsidRDefault="009F43B3" w:rsidP="009F43B3">
      <w:pPr>
        <w:widowControl w:val="0"/>
        <w:autoSpaceDE w:val="0"/>
        <w:autoSpaceDN w:val="0"/>
        <w:spacing w:before="100" w:beforeAutospacing="1" w:after="0" w:line="480" w:lineRule="auto"/>
        <w:ind w:right="820"/>
        <w:jc w:val="both"/>
        <w:rPr>
          <w:rFonts w:ascii="Times New Roman" w:eastAsia="Verdana" w:hAnsi="Times New Roman" w:cs="Times New Roman"/>
          <w:kern w:val="0"/>
          <w:lang w:eastAsia="en-PK"/>
          <w14:ligatures w14:val="none"/>
        </w:rPr>
      </w:pPr>
      <w:r w:rsidRPr="009F43B3">
        <w:rPr>
          <w:rFonts w:ascii="Times New Roman" w:eastAsia="Arial" w:hAnsi="Times New Roman" w:cs="Times New Roman"/>
          <w:kern w:val="0"/>
          <w:lang w:eastAsia="en-PK"/>
          <w14:ligatures w14:val="none"/>
        </w:rPr>
        <w:t xml:space="preserve">This descriptive cross-sectional study was conducted in the Department of pulmonology, JPMC, Karachi, Pakistan. </w:t>
      </w:r>
      <w:r w:rsidRPr="009F43B3">
        <w:rPr>
          <w:rFonts w:ascii="Times New Roman" w:eastAsia="Verdana" w:hAnsi="Times New Roman" w:cs="Times New Roman"/>
          <w:kern w:val="0"/>
          <w:lang w:eastAsia="en-PK"/>
          <w14:ligatures w14:val="none"/>
        </w:rPr>
        <w:t xml:space="preserve">The study included all eligible patients at JPMC, Karachi, who met the inclusion criteria. Informed consent was obtained after </w:t>
      </w:r>
      <w:r w:rsidRPr="009F43B3">
        <w:rPr>
          <w:rFonts w:ascii="Times New Roman" w:eastAsia="Verdana" w:hAnsi="Times New Roman" w:cs="Times New Roman"/>
          <w:kern w:val="0"/>
          <w:lang w:eastAsia="en-PK"/>
          <w14:ligatures w14:val="none"/>
        </w:rPr>
        <w:lastRenderedPageBreak/>
        <w:t xml:space="preserve">explaining the study's details. Once diagnosed with community-acquired pneumonia based on specific criteria, we calculated the CURB-65 score. A 5cc blood sample was drawn using sterile technique for </w:t>
      </w:r>
      <w:proofErr w:type="spellStart"/>
      <w:r w:rsidRPr="009F43B3">
        <w:rPr>
          <w:rFonts w:ascii="Times New Roman" w:eastAsia="Verdana" w:hAnsi="Times New Roman" w:cs="Times New Roman"/>
          <w:kern w:val="0"/>
          <w:lang w:eastAsia="en-PK"/>
          <w14:ligatures w14:val="none"/>
        </w:rPr>
        <w:t>proBNP</w:t>
      </w:r>
      <w:proofErr w:type="spellEnd"/>
      <w:r w:rsidRPr="009F43B3">
        <w:rPr>
          <w:rFonts w:ascii="Times New Roman" w:eastAsia="Verdana" w:hAnsi="Times New Roman" w:cs="Times New Roman"/>
          <w:kern w:val="0"/>
          <w:lang w:eastAsia="en-PK"/>
          <w14:ligatures w14:val="none"/>
        </w:rPr>
        <w:t xml:space="preserve"> assessment. Patients were monitored until discharge to assess mortality. All data were recorded in an electronic research proforma for</w:t>
      </w:r>
      <w:r w:rsidRPr="009F43B3">
        <w:rPr>
          <w:rFonts w:ascii="Times New Roman" w:eastAsia="Verdana" w:hAnsi="Times New Roman" w:cs="Times New Roman"/>
          <w:spacing w:val="-1"/>
          <w:kern w:val="0"/>
          <w:lang w:eastAsia="en-PK"/>
          <w14:ligatures w14:val="none"/>
        </w:rPr>
        <w:t xml:space="preserve"> </w:t>
      </w:r>
      <w:r w:rsidRPr="009F43B3">
        <w:rPr>
          <w:rFonts w:ascii="Times New Roman" w:eastAsia="Verdana" w:hAnsi="Times New Roman" w:cs="Times New Roman"/>
          <w:kern w:val="0"/>
          <w:lang w:eastAsia="en-PK"/>
          <w14:ligatures w14:val="none"/>
        </w:rPr>
        <w:t>analysis.</w:t>
      </w:r>
    </w:p>
    <w:p w14:paraId="6B1C3BE8" w14:textId="77777777" w:rsidR="009F43B3" w:rsidRPr="009F43B3" w:rsidRDefault="009F43B3" w:rsidP="009F43B3">
      <w:pPr>
        <w:widowControl w:val="0"/>
        <w:autoSpaceDE w:val="0"/>
        <w:autoSpaceDN w:val="0"/>
        <w:spacing w:before="100" w:beforeAutospacing="1" w:after="0" w:line="480" w:lineRule="auto"/>
        <w:jc w:val="both"/>
        <w:rPr>
          <w:rFonts w:ascii="Times New Roman" w:eastAsia="Verdana" w:hAnsi="Times New Roman" w:cs="Times New Roman"/>
          <w:bCs/>
          <w:iCs/>
          <w:kern w:val="0"/>
          <w:lang w:eastAsia="en-PK"/>
          <w14:ligatures w14:val="none"/>
        </w:rPr>
      </w:pPr>
      <w:r w:rsidRPr="009F43B3">
        <w:rPr>
          <w:rFonts w:ascii="Times New Roman" w:eastAsia="Verdana" w:hAnsi="Times New Roman" w:cs="Times New Roman"/>
          <w:bCs/>
          <w:iCs/>
          <w:kern w:val="0"/>
          <w:lang w:eastAsia="en-PK"/>
          <w14:ligatures w14:val="none"/>
        </w:rPr>
        <w:t>Results</w:t>
      </w:r>
    </w:p>
    <w:p w14:paraId="35332D57" w14:textId="77777777" w:rsidR="009F43B3" w:rsidRPr="009F43B3" w:rsidRDefault="009F43B3" w:rsidP="009F43B3">
      <w:pPr>
        <w:widowControl w:val="0"/>
        <w:autoSpaceDE w:val="0"/>
        <w:autoSpaceDN w:val="0"/>
        <w:spacing w:before="100" w:beforeAutospacing="1" w:after="0" w:line="480" w:lineRule="auto"/>
        <w:jc w:val="both"/>
        <w:rPr>
          <w:rFonts w:ascii="Verdana" w:eastAsia="Times New Roman" w:hAnsi="Verdana" w:cs="Times New Roman"/>
          <w:b/>
          <w:bCs/>
          <w:kern w:val="0"/>
          <w:lang w:eastAsia="en-PK"/>
          <w14:ligatures w14:val="none"/>
        </w:rPr>
      </w:pPr>
      <w:r w:rsidRPr="009F43B3">
        <w:rPr>
          <w:rFonts w:ascii="Times New Roman" w:eastAsia="Verdana" w:hAnsi="Times New Roman" w:cs="Times New Roman"/>
          <w:bCs/>
          <w:iCs/>
          <w:kern w:val="0"/>
          <w:lang w:eastAsia="en-PK"/>
          <w14:ligatures w14:val="none"/>
        </w:rPr>
        <w:t xml:space="preserve">the median age of the patients was 55 years with almost equal gender </w:t>
      </w:r>
      <w:proofErr w:type="gramStart"/>
      <w:r w:rsidRPr="009F43B3">
        <w:rPr>
          <w:rFonts w:ascii="Times New Roman" w:eastAsia="Verdana" w:hAnsi="Times New Roman" w:cs="Times New Roman"/>
          <w:bCs/>
          <w:iCs/>
          <w:kern w:val="0"/>
          <w:lang w:eastAsia="en-PK"/>
          <w14:ligatures w14:val="none"/>
        </w:rPr>
        <w:t>distribution(</w:t>
      </w:r>
      <w:proofErr w:type="gramEnd"/>
      <w:r w:rsidRPr="009F43B3">
        <w:rPr>
          <w:rFonts w:ascii="Times New Roman" w:eastAsia="Verdana" w:hAnsi="Times New Roman" w:cs="Times New Roman"/>
          <w:bCs/>
          <w:iCs/>
          <w:kern w:val="0"/>
          <w:lang w:eastAsia="en-PK"/>
          <w14:ligatures w14:val="none"/>
        </w:rPr>
        <w:t xml:space="preserve">49.4% male, 50.6% female) of which 97.55 were from urban areas. 76.5% required mechanical ventilation out of which 82.7 % received non invasive ventilation and 17.3% received invasive ventilation. Inotropic support was required by 21% and overall mortality rate was 30.9%. CURB-65 manifested an area under the curve the ROC curve (AUC) of 0.746, with a threshold of &gt;1.50 reflecting 96.0% sensitivity and 75.0% specificity for mortality while </w:t>
      </w:r>
      <w:proofErr w:type="spellStart"/>
      <w:r w:rsidRPr="009F43B3">
        <w:rPr>
          <w:rFonts w:ascii="Times New Roman" w:eastAsia="Verdana" w:hAnsi="Times New Roman" w:cs="Times New Roman"/>
          <w:bCs/>
          <w:iCs/>
          <w:kern w:val="0"/>
          <w:lang w:eastAsia="en-PK"/>
          <w14:ligatures w14:val="none"/>
        </w:rPr>
        <w:t>ProBNP</w:t>
      </w:r>
      <w:proofErr w:type="spellEnd"/>
      <w:r w:rsidRPr="009F43B3">
        <w:rPr>
          <w:rFonts w:ascii="Times New Roman" w:eastAsia="Verdana" w:hAnsi="Times New Roman" w:cs="Times New Roman"/>
          <w:bCs/>
          <w:iCs/>
          <w:kern w:val="0"/>
          <w:lang w:eastAsia="en-PK"/>
          <w14:ligatures w14:val="none"/>
        </w:rPr>
        <w:t xml:space="preserve"> unveiling superior with an AUC of 0.801 with a threshold of &gt;145.50, scoring 100 % sensitivity and 89.3% specificity and also prognosticating mechanical ventilation requirement (AUC: 0.761, p=0.001) and hospital 0.001 duration (AUC: 0.752 and 0.898, p=0.004 and 0.001 respectively). predictive value for inotropic support was not significant (AUC: </w:t>
      </w:r>
      <w:proofErr w:type="gramStart"/>
      <w:r w:rsidRPr="009F43B3">
        <w:rPr>
          <w:rFonts w:ascii="Times New Roman" w:eastAsia="Verdana" w:hAnsi="Times New Roman" w:cs="Times New Roman"/>
          <w:bCs/>
          <w:iCs/>
          <w:kern w:val="0"/>
          <w:lang w:eastAsia="en-PK"/>
          <w14:ligatures w14:val="none"/>
        </w:rPr>
        <w:t>0.600,P</w:t>
      </w:r>
      <w:proofErr w:type="gramEnd"/>
      <w:r w:rsidRPr="009F43B3">
        <w:rPr>
          <w:rFonts w:ascii="Times New Roman" w:eastAsia="Verdana" w:hAnsi="Times New Roman" w:cs="Times New Roman"/>
          <w:bCs/>
          <w:iCs/>
          <w:kern w:val="0"/>
          <w:lang w:eastAsia="en-PK"/>
          <w14:ligatures w14:val="none"/>
        </w:rPr>
        <w:t>=0.527).</w:t>
      </w:r>
    </w:p>
    <w:p w14:paraId="075F3867" w14:textId="77777777" w:rsidR="009F43B3" w:rsidRPr="009F43B3" w:rsidRDefault="009F43B3" w:rsidP="009F43B3">
      <w:pPr>
        <w:widowControl w:val="0"/>
        <w:autoSpaceDE w:val="0"/>
        <w:autoSpaceDN w:val="0"/>
        <w:spacing w:before="120" w:after="0" w:line="480" w:lineRule="auto"/>
        <w:ind w:right="817"/>
        <w:jc w:val="both"/>
        <w:rPr>
          <w:rFonts w:ascii="Times New Roman" w:eastAsia="Verdana" w:hAnsi="Times New Roman" w:cs="Times New Roman"/>
          <w:iCs/>
          <w:kern w:val="0"/>
          <w:lang w:eastAsia="en-PK"/>
          <w14:ligatures w14:val="none"/>
        </w:rPr>
      </w:pPr>
      <w:r w:rsidRPr="009F43B3">
        <w:rPr>
          <w:rFonts w:ascii="Times New Roman" w:eastAsia="Verdana" w:hAnsi="Times New Roman" w:cs="Times New Roman"/>
          <w:bCs/>
          <w:iCs/>
          <w:kern w:val="0"/>
          <w:lang w:eastAsia="en-PK"/>
          <w14:ligatures w14:val="none"/>
        </w:rPr>
        <w:t>Conclusion</w:t>
      </w:r>
    </w:p>
    <w:p w14:paraId="6B037A11" w14:textId="77777777" w:rsidR="009F43B3" w:rsidRPr="009F43B3" w:rsidRDefault="009F43B3" w:rsidP="009F43B3">
      <w:pPr>
        <w:widowControl w:val="0"/>
        <w:autoSpaceDE w:val="0"/>
        <w:autoSpaceDN w:val="0"/>
        <w:spacing w:before="120" w:after="0" w:line="480" w:lineRule="auto"/>
        <w:ind w:right="817"/>
        <w:jc w:val="both"/>
        <w:rPr>
          <w:rFonts w:ascii="Times New Roman" w:eastAsia="Verdana" w:hAnsi="Times New Roman" w:cs="Times New Roman"/>
          <w:kern w:val="0"/>
          <w:lang w:eastAsia="en-PK"/>
          <w14:ligatures w14:val="none"/>
        </w:rPr>
      </w:pPr>
      <w:r w:rsidRPr="009F43B3">
        <w:rPr>
          <w:rFonts w:ascii="Times New Roman" w:eastAsia="Verdana" w:hAnsi="Times New Roman" w:cs="Times New Roman"/>
          <w:kern w:val="0"/>
          <w:lang w:eastAsia="en-PK"/>
          <w14:ligatures w14:val="none"/>
        </w:rPr>
        <w:t xml:space="preserve">It is to be concluded that </w:t>
      </w:r>
      <w:proofErr w:type="spellStart"/>
      <w:r w:rsidRPr="009F43B3">
        <w:rPr>
          <w:rFonts w:ascii="Times New Roman" w:eastAsia="Verdana" w:hAnsi="Times New Roman" w:cs="Times New Roman"/>
          <w:kern w:val="0"/>
          <w:lang w:eastAsia="en-PK"/>
          <w14:ligatures w14:val="none"/>
        </w:rPr>
        <w:t>proBNP</w:t>
      </w:r>
      <w:proofErr w:type="spellEnd"/>
      <w:r w:rsidRPr="009F43B3">
        <w:rPr>
          <w:rFonts w:ascii="Times New Roman" w:eastAsia="Verdana" w:hAnsi="Times New Roman" w:cs="Times New Roman"/>
          <w:kern w:val="0"/>
          <w:lang w:eastAsia="en-PK"/>
          <w14:ligatures w14:val="none"/>
        </w:rPr>
        <w:t xml:space="preserve"> is a more effective predictor of mortality in patients with community-acquired pneumonia compared to CURB-65. </w:t>
      </w:r>
      <w:proofErr w:type="spellStart"/>
      <w:r w:rsidRPr="009F43B3">
        <w:rPr>
          <w:rFonts w:ascii="Times New Roman" w:eastAsia="Verdana" w:hAnsi="Times New Roman" w:cs="Times New Roman"/>
          <w:kern w:val="0"/>
          <w:lang w:eastAsia="en-PK"/>
          <w14:ligatures w14:val="none"/>
        </w:rPr>
        <w:t>ProBNP</w:t>
      </w:r>
      <w:proofErr w:type="spellEnd"/>
      <w:r w:rsidRPr="009F43B3">
        <w:rPr>
          <w:rFonts w:ascii="Times New Roman" w:eastAsia="Verdana" w:hAnsi="Times New Roman" w:cs="Times New Roman"/>
          <w:kern w:val="0"/>
          <w:lang w:eastAsia="en-PK"/>
          <w14:ligatures w14:val="none"/>
        </w:rPr>
        <w:t xml:space="preserve"> demonstrates higher accuracy and reliability in assessing patient outcomes. It is recommended that further research and clinical validation be conducted to confirm these findings and guide their practical application in patient care.</w:t>
      </w:r>
    </w:p>
    <w:p w14:paraId="2C12F258" w14:textId="77777777" w:rsidR="009F43B3" w:rsidRDefault="009F43B3" w:rsidP="009F43B3">
      <w:pPr>
        <w:widowControl w:val="0"/>
        <w:autoSpaceDE w:val="0"/>
        <w:autoSpaceDN w:val="0"/>
        <w:spacing w:before="100" w:beforeAutospacing="1" w:after="0" w:line="480" w:lineRule="auto"/>
        <w:jc w:val="both"/>
        <w:rPr>
          <w:rFonts w:ascii="Times New Roman" w:eastAsia="Verdana" w:hAnsi="Times New Roman" w:cs="Times New Roman"/>
          <w:kern w:val="0"/>
          <w:lang w:eastAsia="en-PK"/>
          <w14:ligatures w14:val="none"/>
        </w:rPr>
      </w:pPr>
    </w:p>
    <w:p w14:paraId="6900994F" w14:textId="570669BA" w:rsidR="009F43B3" w:rsidRDefault="009F43B3" w:rsidP="009F43B3">
      <w:pPr>
        <w:widowControl w:val="0"/>
        <w:autoSpaceDE w:val="0"/>
        <w:autoSpaceDN w:val="0"/>
        <w:spacing w:before="100" w:beforeAutospacing="1" w:after="0" w:line="480" w:lineRule="auto"/>
        <w:jc w:val="both"/>
        <w:rPr>
          <w:rFonts w:ascii="Times New Roman" w:eastAsia="Verdana" w:hAnsi="Times New Roman" w:cs="Times New Roman"/>
          <w:kern w:val="0"/>
          <w:lang w:eastAsia="en-PK"/>
          <w14:ligatures w14:val="none"/>
        </w:rPr>
      </w:pPr>
      <w:r w:rsidRPr="009F43B3">
        <w:rPr>
          <w:rFonts w:ascii="Times New Roman" w:eastAsia="Verdana" w:hAnsi="Times New Roman" w:cs="Times New Roman"/>
          <w:kern w:val="0"/>
          <w:lang w:eastAsia="en-PK"/>
          <w14:ligatures w14:val="none"/>
        </w:rPr>
        <w:lastRenderedPageBreak/>
        <w:t>Key Words</w:t>
      </w:r>
    </w:p>
    <w:p w14:paraId="5A1F8EF3" w14:textId="0805FE7C" w:rsidR="009F43B3" w:rsidRPr="009F43B3" w:rsidRDefault="009F43B3" w:rsidP="009F43B3">
      <w:pPr>
        <w:widowControl w:val="0"/>
        <w:autoSpaceDE w:val="0"/>
        <w:autoSpaceDN w:val="0"/>
        <w:spacing w:before="100" w:beforeAutospacing="1" w:after="0" w:line="480" w:lineRule="auto"/>
        <w:jc w:val="both"/>
        <w:rPr>
          <w:rFonts w:ascii="Times New Roman" w:eastAsia="Verdana" w:hAnsi="Times New Roman" w:cs="Times New Roman"/>
          <w:kern w:val="0"/>
          <w:lang w:eastAsia="en-PK"/>
          <w14:ligatures w14:val="none"/>
        </w:rPr>
      </w:pPr>
      <w:r w:rsidRPr="009F43B3">
        <w:rPr>
          <w:rFonts w:ascii="Times New Roman" w:eastAsia="Verdana" w:hAnsi="Times New Roman" w:cs="Times New Roman"/>
          <w:kern w:val="0"/>
          <w:lang w:eastAsia="en-PK"/>
          <w14:ligatures w14:val="none"/>
        </w:rPr>
        <w:t xml:space="preserve">Community Acquired Pneumonia, CURB-65, Mortality, </w:t>
      </w:r>
      <w:proofErr w:type="spellStart"/>
      <w:r w:rsidRPr="009F43B3">
        <w:rPr>
          <w:rFonts w:ascii="Times New Roman" w:eastAsia="Verdana" w:hAnsi="Times New Roman" w:cs="Times New Roman"/>
          <w:kern w:val="0"/>
          <w:lang w:eastAsia="en-PK"/>
          <w14:ligatures w14:val="none"/>
        </w:rPr>
        <w:t>proBNP</w:t>
      </w:r>
      <w:proofErr w:type="spellEnd"/>
      <w:r w:rsidRPr="009F43B3">
        <w:rPr>
          <w:rFonts w:ascii="Times New Roman" w:eastAsia="Verdana" w:hAnsi="Times New Roman" w:cs="Times New Roman"/>
          <w:kern w:val="0"/>
          <w:lang w:eastAsia="en-PK"/>
          <w14:ligatures w14:val="none"/>
        </w:rPr>
        <w:t>.</w:t>
      </w:r>
    </w:p>
    <w:p w14:paraId="07BBF7CB" w14:textId="77777777" w:rsidR="009F43B3" w:rsidRPr="009F43B3" w:rsidRDefault="009F43B3" w:rsidP="009F43B3">
      <w:pPr>
        <w:widowControl w:val="0"/>
        <w:autoSpaceDE w:val="0"/>
        <w:autoSpaceDN w:val="0"/>
        <w:spacing w:before="100" w:beforeAutospacing="1" w:after="0" w:line="480" w:lineRule="auto"/>
        <w:jc w:val="both"/>
        <w:rPr>
          <w:rFonts w:ascii="Times New Roman" w:eastAsia="Verdana" w:hAnsi="Times New Roman" w:cs="Times New Roman"/>
          <w:kern w:val="0"/>
          <w:lang w:eastAsia="en-PK"/>
          <w14:ligatures w14:val="none"/>
        </w:rPr>
      </w:pPr>
      <w:r w:rsidRPr="009F43B3">
        <w:rPr>
          <w:rFonts w:ascii="Times New Roman" w:eastAsia="Verdana" w:hAnsi="Times New Roman" w:cs="Times New Roman"/>
          <w:kern w:val="0"/>
          <w:lang w:eastAsia="en-PK"/>
          <w14:ligatures w14:val="none"/>
        </w:rPr>
        <w:t xml:space="preserve"> </w:t>
      </w:r>
    </w:p>
    <w:p w14:paraId="511DCF5B" w14:textId="77777777" w:rsidR="009F43B3" w:rsidRPr="009F43B3" w:rsidRDefault="009F43B3" w:rsidP="009F43B3">
      <w:pPr>
        <w:widowControl w:val="0"/>
        <w:autoSpaceDE w:val="0"/>
        <w:autoSpaceDN w:val="0"/>
        <w:spacing w:before="100" w:beforeAutospacing="1" w:after="0" w:line="480" w:lineRule="auto"/>
        <w:jc w:val="both"/>
        <w:rPr>
          <w:rFonts w:ascii="Arial" w:eastAsia="Verdana" w:hAnsi="Arial" w:cs="Arial"/>
          <w:kern w:val="0"/>
          <w:sz w:val="28"/>
          <w:szCs w:val="28"/>
          <w:lang w:eastAsia="en-PK"/>
          <w14:ligatures w14:val="none"/>
        </w:rPr>
      </w:pPr>
      <w:r w:rsidRPr="009F43B3">
        <w:rPr>
          <w:rFonts w:ascii="Arial" w:eastAsia="Verdana" w:hAnsi="Arial" w:cs="Arial"/>
          <w:kern w:val="0"/>
          <w:sz w:val="28"/>
          <w:szCs w:val="28"/>
          <w:lang w:eastAsia="en-PK"/>
          <w14:ligatures w14:val="none"/>
        </w:rPr>
        <w:t xml:space="preserve"> </w:t>
      </w:r>
    </w:p>
    <w:p w14:paraId="24B43702" w14:textId="77777777" w:rsidR="009F43B3" w:rsidRDefault="009F43B3"/>
    <w:sectPr w:rsidR="009F43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B3"/>
    <w:rsid w:val="004F24CB"/>
    <w:rsid w:val="009F43B3"/>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CAE6"/>
  <w15:chartTrackingRefBased/>
  <w15:docId w15:val="{E54055D2-9D7B-4D3A-932E-0BF8702A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4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43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43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43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43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3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3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3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4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4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4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4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4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3B3"/>
    <w:rPr>
      <w:rFonts w:eastAsiaTheme="majorEastAsia" w:cstheme="majorBidi"/>
      <w:color w:val="272727" w:themeColor="text1" w:themeTint="D8"/>
    </w:rPr>
  </w:style>
  <w:style w:type="paragraph" w:styleId="Title">
    <w:name w:val="Title"/>
    <w:basedOn w:val="Normal"/>
    <w:next w:val="Normal"/>
    <w:link w:val="TitleChar"/>
    <w:uiPriority w:val="10"/>
    <w:qFormat/>
    <w:rsid w:val="009F4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3B3"/>
    <w:pPr>
      <w:spacing w:before="160"/>
      <w:jc w:val="center"/>
    </w:pPr>
    <w:rPr>
      <w:i/>
      <w:iCs/>
      <w:color w:val="404040" w:themeColor="text1" w:themeTint="BF"/>
    </w:rPr>
  </w:style>
  <w:style w:type="character" w:customStyle="1" w:styleId="QuoteChar">
    <w:name w:val="Quote Char"/>
    <w:basedOn w:val="DefaultParagraphFont"/>
    <w:link w:val="Quote"/>
    <w:uiPriority w:val="29"/>
    <w:rsid w:val="009F43B3"/>
    <w:rPr>
      <w:i/>
      <w:iCs/>
      <w:color w:val="404040" w:themeColor="text1" w:themeTint="BF"/>
    </w:rPr>
  </w:style>
  <w:style w:type="paragraph" w:styleId="ListParagraph">
    <w:name w:val="List Paragraph"/>
    <w:basedOn w:val="Normal"/>
    <w:uiPriority w:val="34"/>
    <w:qFormat/>
    <w:rsid w:val="009F43B3"/>
    <w:pPr>
      <w:ind w:left="720"/>
      <w:contextualSpacing/>
    </w:pPr>
  </w:style>
  <w:style w:type="character" w:styleId="IntenseEmphasis">
    <w:name w:val="Intense Emphasis"/>
    <w:basedOn w:val="DefaultParagraphFont"/>
    <w:uiPriority w:val="21"/>
    <w:qFormat/>
    <w:rsid w:val="009F43B3"/>
    <w:rPr>
      <w:i/>
      <w:iCs/>
      <w:color w:val="2F5496" w:themeColor="accent1" w:themeShade="BF"/>
    </w:rPr>
  </w:style>
  <w:style w:type="paragraph" w:styleId="IntenseQuote">
    <w:name w:val="Intense Quote"/>
    <w:basedOn w:val="Normal"/>
    <w:next w:val="Normal"/>
    <w:link w:val="IntenseQuoteChar"/>
    <w:uiPriority w:val="30"/>
    <w:qFormat/>
    <w:rsid w:val="009F4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43B3"/>
    <w:rPr>
      <w:i/>
      <w:iCs/>
      <w:color w:val="2F5496" w:themeColor="accent1" w:themeShade="BF"/>
    </w:rPr>
  </w:style>
  <w:style w:type="character" w:styleId="IntenseReference">
    <w:name w:val="Intense Reference"/>
    <w:basedOn w:val="DefaultParagraphFont"/>
    <w:uiPriority w:val="32"/>
    <w:qFormat/>
    <w:rsid w:val="009F43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59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marium</dc:creator>
  <cp:keywords/>
  <dc:description/>
  <cp:lastModifiedBy>marium</cp:lastModifiedBy>
  <cp:revision>1</cp:revision>
  <dcterms:created xsi:type="dcterms:W3CDTF">2025-03-19T14:45:00Z</dcterms:created>
  <dcterms:modified xsi:type="dcterms:W3CDTF">2025-03-19T14:47:00Z</dcterms:modified>
</cp:coreProperties>
</file>